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4F7A84D9"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D55861">
        <w:rPr>
          <w:rFonts w:ascii="Arial" w:hAnsi="Arial" w:cs="Arial"/>
          <w:sz w:val="24"/>
          <w:szCs w:val="24"/>
          <w:lang w:val="es-MX"/>
        </w:rPr>
        <w:t>57516</w:t>
      </w:r>
      <w:r w:rsidR="00131BDC">
        <w:rPr>
          <w:rFonts w:ascii="Arial" w:hAnsi="Arial" w:cs="Arial"/>
          <w:sz w:val="24"/>
          <w:szCs w:val="24"/>
          <w:lang w:val="es-MX"/>
        </w:rPr>
        <w:t>2</w:t>
      </w:r>
    </w:p>
    <w:p w14:paraId="0CA44925" w14:textId="738DD7E6"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D55861" w:rsidRPr="00D55861">
        <w:rPr>
          <w:rFonts w:ascii="Arial" w:hAnsi="Arial" w:cs="Arial"/>
          <w:sz w:val="24"/>
          <w:szCs w:val="24"/>
          <w:lang w:val="es-MX"/>
        </w:rPr>
        <w:t>La presente convocatoria tiene por objeto la adquisición</w:t>
      </w:r>
      <w:r w:rsidR="00D55861">
        <w:rPr>
          <w:rFonts w:ascii="Arial" w:hAnsi="Arial" w:cs="Arial"/>
          <w:sz w:val="24"/>
          <w:szCs w:val="24"/>
          <w:lang w:val="es-MX"/>
        </w:rPr>
        <w:t xml:space="preserve"> </w:t>
      </w:r>
      <w:r w:rsidR="00D55861" w:rsidRPr="00D55861">
        <w:rPr>
          <w:rFonts w:ascii="Arial" w:hAnsi="Arial" w:cs="Arial"/>
          <w:sz w:val="24"/>
          <w:szCs w:val="24"/>
          <w:lang w:val="es-MX"/>
        </w:rPr>
        <w:t xml:space="preserve">adoquines peatonales de hormigón tipo 6x10x20 cm y cemento portland en bolsas de 25 kg, destinados </w:t>
      </w:r>
      <w:r w:rsidR="00131BDC" w:rsidRPr="00131BDC">
        <w:rPr>
          <w:rFonts w:ascii="Arial" w:hAnsi="Arial" w:cs="Arial"/>
          <w:sz w:val="24"/>
          <w:szCs w:val="24"/>
        </w:rPr>
        <w:t>a la ejecución de piso peatonal en el sector de asadores del Campo de Deportes Municipal de la ciudad, conforme a las especificaciones técnicas y cantidades establecidas en el presente pliego.</w:t>
      </w:r>
    </w:p>
    <w:bookmarkEnd w:id="0"/>
    <w:p w14:paraId="17EE21AB" w14:textId="2B3B7044"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D55861">
        <w:rPr>
          <w:rFonts w:ascii="Arial" w:hAnsi="Arial" w:cs="Arial"/>
          <w:sz w:val="24"/>
          <w:szCs w:val="24"/>
          <w:lang w:val="es-MX"/>
        </w:rPr>
        <w:t>2</w:t>
      </w:r>
      <w:r w:rsidR="00C53008">
        <w:rPr>
          <w:rFonts w:ascii="Arial" w:hAnsi="Arial" w:cs="Arial"/>
          <w:sz w:val="24"/>
          <w:szCs w:val="24"/>
          <w:lang w:val="es-MX"/>
        </w:rPr>
        <w:t>6</w:t>
      </w:r>
      <w:r w:rsidR="00E43BD1" w:rsidRPr="00E43BD1">
        <w:rPr>
          <w:rFonts w:ascii="Arial" w:hAnsi="Arial" w:cs="Arial"/>
          <w:sz w:val="24"/>
          <w:szCs w:val="24"/>
        </w:rPr>
        <w:t xml:space="preserve"> de </w:t>
      </w:r>
      <w:r w:rsidR="00D55861">
        <w:rPr>
          <w:rFonts w:ascii="Arial" w:hAnsi="Arial" w:cs="Arial"/>
          <w:sz w:val="24"/>
          <w:szCs w:val="24"/>
        </w:rPr>
        <w:t>junio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C53008">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2AE1EAB1"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4736E">
        <w:rPr>
          <w:rFonts w:ascii="Arial" w:hAnsi="Arial" w:cs="Arial"/>
          <w:sz w:val="24"/>
          <w:szCs w:val="24"/>
          <w:lang w:val="es-419"/>
        </w:rPr>
        <w:t>2</w:t>
      </w:r>
      <w:r w:rsidR="00C53008">
        <w:rPr>
          <w:rFonts w:ascii="Arial" w:hAnsi="Arial" w:cs="Arial"/>
          <w:sz w:val="24"/>
          <w:szCs w:val="24"/>
          <w:lang w:val="es-419"/>
        </w:rPr>
        <w:t>6</w:t>
      </w:r>
      <w:r w:rsidRPr="00A066CE">
        <w:rPr>
          <w:rFonts w:ascii="Arial" w:hAnsi="Arial" w:cs="Arial"/>
          <w:sz w:val="24"/>
          <w:szCs w:val="24"/>
          <w:lang w:val="es-419"/>
        </w:rPr>
        <w:t>/0</w:t>
      </w:r>
      <w:r w:rsidR="00C4736E">
        <w:rPr>
          <w:rFonts w:ascii="Arial" w:hAnsi="Arial" w:cs="Arial"/>
          <w:sz w:val="24"/>
          <w:szCs w:val="24"/>
          <w:lang w:val="es-419"/>
        </w:rPr>
        <w:t>6</w:t>
      </w:r>
      <w:r w:rsidRPr="00A066CE">
        <w:rPr>
          <w:rFonts w:ascii="Arial" w:hAnsi="Arial" w:cs="Arial"/>
          <w:sz w:val="24"/>
          <w:szCs w:val="24"/>
          <w:lang w:val="es-419"/>
        </w:rPr>
        <w:t xml:space="preserve">/2026 a las </w:t>
      </w:r>
      <w:r w:rsidR="00C53008">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1D073CAA" w14:textId="77777777" w:rsidR="00C4736E" w:rsidRDefault="00C4736E" w:rsidP="00DD1DFF">
      <w:pPr>
        <w:spacing w:line="360" w:lineRule="auto"/>
        <w:jc w:val="center"/>
        <w:rPr>
          <w:rFonts w:ascii="Arial" w:hAnsi="Arial" w:cs="Arial"/>
          <w:sz w:val="24"/>
          <w:szCs w:val="24"/>
          <w:lang w:val="es-MX"/>
        </w:rPr>
      </w:pPr>
    </w:p>
    <w:p w14:paraId="0A962DB6" w14:textId="77777777" w:rsidR="00C4736E" w:rsidRDefault="00C4736E" w:rsidP="00DD1DFF">
      <w:pPr>
        <w:spacing w:line="360" w:lineRule="auto"/>
        <w:jc w:val="center"/>
        <w:rPr>
          <w:rFonts w:ascii="Arial" w:hAnsi="Arial" w:cs="Arial"/>
          <w:sz w:val="24"/>
          <w:szCs w:val="24"/>
          <w:lang w:val="es-MX"/>
        </w:rPr>
      </w:pPr>
    </w:p>
    <w:p w14:paraId="0D5EF703" w14:textId="39AF066C"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53E9202D" w14:textId="5B2EFF38" w:rsidR="00767BD2" w:rsidRPr="00767BD2" w:rsidRDefault="00A73838" w:rsidP="00131BDC">
      <w:pPr>
        <w:spacing w:line="360" w:lineRule="auto"/>
        <w:jc w:val="both"/>
        <w:rPr>
          <w:rFonts w:ascii="Arial" w:hAnsi="Arial" w:cs="Arial"/>
          <w:sz w:val="24"/>
          <w:szCs w:val="24"/>
          <w:lang w:val="es-419"/>
        </w:rPr>
      </w:pPr>
      <w:r w:rsidRPr="00A73838">
        <w:rPr>
          <w:rFonts w:ascii="Arial" w:hAnsi="Arial" w:cs="Arial"/>
          <w:sz w:val="24"/>
          <w:szCs w:val="24"/>
          <w:lang w:val="es-MX"/>
        </w:rPr>
        <w:t xml:space="preserve">La presente contratación tiene por objeto la adquisición </w:t>
      </w:r>
      <w:r w:rsidR="00767BD2">
        <w:rPr>
          <w:rFonts w:ascii="Arial" w:hAnsi="Arial" w:cs="Arial"/>
          <w:sz w:val="24"/>
          <w:szCs w:val="24"/>
          <w:lang w:val="es-MX"/>
        </w:rPr>
        <w:t xml:space="preserve">de </w:t>
      </w:r>
      <w:r w:rsidR="00131BDC" w:rsidRPr="00131BDC">
        <w:rPr>
          <w:rFonts w:ascii="Arial" w:hAnsi="Arial" w:cs="Arial"/>
          <w:sz w:val="24"/>
          <w:szCs w:val="24"/>
          <w:lang w:val="es-MX"/>
        </w:rPr>
        <w:t>materiales destinados a la ejecución de pavimento peatonal en el sector de asadores del Campo de Deportes Municipal, comprendiendo la provisión de 288 m² de adoquines peatonales de hormigón de 6 x 10 x 20 cm y 18 bolsas de cemento portland de 25 kg, necesarios para el sellado de juntas y la ejecución de elementos de contención, conforme a las especificaciones técnicas establecidas por el área solicitante</w:t>
      </w:r>
      <w:r w:rsidR="00767BD2" w:rsidRPr="00767BD2">
        <w:rPr>
          <w:rFonts w:ascii="Arial" w:hAnsi="Arial" w:cs="Arial"/>
          <w:sz w:val="24"/>
          <w:szCs w:val="24"/>
          <w:lang w:val="es-419"/>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20A85469"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46B8C30D" w14:textId="77777777" w:rsidR="0018613D" w:rsidRDefault="0018613D" w:rsidP="00A73838">
      <w:pPr>
        <w:spacing w:line="360" w:lineRule="auto"/>
        <w:jc w:val="center"/>
        <w:rPr>
          <w:rFonts w:ascii="Arial" w:hAnsi="Arial" w:cs="Arial"/>
          <w:sz w:val="24"/>
          <w:szCs w:val="24"/>
          <w:lang w:val="es-MX"/>
        </w:rPr>
      </w:pPr>
    </w:p>
    <w:p w14:paraId="0B9F3656" w14:textId="77777777" w:rsidR="0018613D" w:rsidRDefault="0018613D" w:rsidP="00A73838">
      <w:pPr>
        <w:spacing w:line="360" w:lineRule="auto"/>
        <w:jc w:val="center"/>
        <w:rPr>
          <w:rFonts w:ascii="Arial" w:hAnsi="Arial" w:cs="Arial"/>
          <w:sz w:val="24"/>
          <w:szCs w:val="24"/>
          <w:lang w:val="es-MX"/>
        </w:rPr>
      </w:pPr>
    </w:p>
    <w:p w14:paraId="7FF31D37" w14:textId="391F94E0"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3D4DB6F6" w14:textId="578AAB8F"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10163" w:type="dxa"/>
        <w:tblInd w:w="-555" w:type="dxa"/>
        <w:tblLook w:val="04A0" w:firstRow="1" w:lastRow="0" w:firstColumn="1" w:lastColumn="0" w:noHBand="0" w:noVBand="1"/>
      </w:tblPr>
      <w:tblGrid>
        <w:gridCol w:w="973"/>
        <w:gridCol w:w="3568"/>
        <w:gridCol w:w="1465"/>
        <w:gridCol w:w="1035"/>
        <w:gridCol w:w="1680"/>
        <w:gridCol w:w="1442"/>
      </w:tblGrid>
      <w:tr w:rsidR="00017C29" w:rsidRPr="00017C29" w14:paraId="7F6CB241" w14:textId="77777777" w:rsidTr="00131BDC">
        <w:trPr>
          <w:trHeight w:val="378"/>
        </w:trPr>
        <w:tc>
          <w:tcPr>
            <w:tcW w:w="973" w:type="dxa"/>
            <w:hideMark/>
          </w:tcPr>
          <w:p w14:paraId="60498B7E" w14:textId="77777777" w:rsidR="00017C29" w:rsidRPr="00017C29" w:rsidRDefault="00017C29" w:rsidP="004805A9">
            <w:pPr>
              <w:jc w:val="center"/>
              <w:rPr>
                <w:b/>
                <w:bCs/>
              </w:rPr>
            </w:pPr>
            <w:r w:rsidRPr="00017C29">
              <w:rPr>
                <w:b/>
                <w:bCs/>
              </w:rPr>
              <w:t>Renglón</w:t>
            </w:r>
          </w:p>
        </w:tc>
        <w:tc>
          <w:tcPr>
            <w:tcW w:w="3568" w:type="dxa"/>
            <w:hideMark/>
          </w:tcPr>
          <w:p w14:paraId="00795870" w14:textId="77777777" w:rsidR="00017C29" w:rsidRPr="00017C29" w:rsidRDefault="00017C29" w:rsidP="004805A9">
            <w:pPr>
              <w:jc w:val="center"/>
              <w:rPr>
                <w:b/>
                <w:bCs/>
              </w:rPr>
            </w:pPr>
            <w:r w:rsidRPr="00017C29">
              <w:rPr>
                <w:b/>
                <w:bCs/>
              </w:rPr>
              <w:t>Detalles</w:t>
            </w:r>
          </w:p>
        </w:tc>
        <w:tc>
          <w:tcPr>
            <w:tcW w:w="1465" w:type="dxa"/>
            <w:noWrap/>
            <w:hideMark/>
          </w:tcPr>
          <w:p w14:paraId="4A42773C" w14:textId="77777777" w:rsidR="00017C29" w:rsidRPr="00017C29" w:rsidRDefault="00017C29" w:rsidP="004805A9">
            <w:pPr>
              <w:jc w:val="center"/>
              <w:rPr>
                <w:b/>
                <w:bCs/>
              </w:rPr>
            </w:pPr>
            <w:r w:rsidRPr="00017C29">
              <w:rPr>
                <w:b/>
                <w:bCs/>
              </w:rPr>
              <w:t>Unidad Medida</w:t>
            </w:r>
          </w:p>
        </w:tc>
        <w:tc>
          <w:tcPr>
            <w:tcW w:w="1035" w:type="dxa"/>
            <w:hideMark/>
          </w:tcPr>
          <w:p w14:paraId="72E51BA0" w14:textId="77777777" w:rsidR="00017C29" w:rsidRPr="00017C29" w:rsidRDefault="00017C29" w:rsidP="004805A9">
            <w:pPr>
              <w:jc w:val="center"/>
              <w:rPr>
                <w:b/>
                <w:bCs/>
              </w:rPr>
            </w:pPr>
            <w:r w:rsidRPr="00017C29">
              <w:rPr>
                <w:b/>
                <w:bCs/>
              </w:rPr>
              <w:t>Cantidad</w:t>
            </w:r>
          </w:p>
        </w:tc>
        <w:tc>
          <w:tcPr>
            <w:tcW w:w="1680" w:type="dxa"/>
            <w:noWrap/>
            <w:hideMark/>
          </w:tcPr>
          <w:p w14:paraId="5A61C4D5" w14:textId="77777777" w:rsidR="00017C29" w:rsidRPr="00017C29" w:rsidRDefault="00017C29" w:rsidP="004805A9">
            <w:pPr>
              <w:jc w:val="center"/>
              <w:rPr>
                <w:b/>
                <w:bCs/>
              </w:rPr>
            </w:pPr>
            <w:r w:rsidRPr="00017C29">
              <w:rPr>
                <w:b/>
                <w:bCs/>
              </w:rPr>
              <w:t>Precio Unitario</w:t>
            </w:r>
          </w:p>
        </w:tc>
        <w:tc>
          <w:tcPr>
            <w:tcW w:w="1442" w:type="dxa"/>
            <w:hideMark/>
          </w:tcPr>
          <w:p w14:paraId="73C8F505" w14:textId="77777777" w:rsidR="00017C29" w:rsidRPr="00017C29" w:rsidRDefault="00017C29" w:rsidP="004805A9">
            <w:pPr>
              <w:jc w:val="center"/>
              <w:rPr>
                <w:b/>
                <w:bCs/>
              </w:rPr>
            </w:pPr>
            <w:r w:rsidRPr="00017C29">
              <w:rPr>
                <w:b/>
                <w:bCs/>
              </w:rPr>
              <w:t>Precio Total</w:t>
            </w:r>
          </w:p>
        </w:tc>
      </w:tr>
      <w:tr w:rsidR="00017C29" w:rsidRPr="00017C29" w14:paraId="1D4B497B" w14:textId="77777777" w:rsidTr="00131BDC">
        <w:trPr>
          <w:trHeight w:val="361"/>
        </w:trPr>
        <w:tc>
          <w:tcPr>
            <w:tcW w:w="973" w:type="dxa"/>
            <w:noWrap/>
            <w:hideMark/>
          </w:tcPr>
          <w:p w14:paraId="07FF681E" w14:textId="77777777" w:rsidR="00017C29" w:rsidRPr="004805A9" w:rsidRDefault="00017C29" w:rsidP="004805A9">
            <w:pPr>
              <w:jc w:val="center"/>
              <w:rPr>
                <w:sz w:val="24"/>
                <w:szCs w:val="24"/>
              </w:rPr>
            </w:pPr>
            <w:r w:rsidRPr="004805A9">
              <w:rPr>
                <w:sz w:val="24"/>
                <w:szCs w:val="24"/>
              </w:rPr>
              <w:t>1</w:t>
            </w:r>
          </w:p>
        </w:tc>
        <w:tc>
          <w:tcPr>
            <w:tcW w:w="3568" w:type="dxa"/>
            <w:noWrap/>
            <w:hideMark/>
          </w:tcPr>
          <w:p w14:paraId="6C4A0E27" w14:textId="4863F86F" w:rsidR="00017C29" w:rsidRPr="004805A9" w:rsidRDefault="004805A9">
            <w:pPr>
              <w:rPr>
                <w:sz w:val="24"/>
                <w:szCs w:val="24"/>
              </w:rPr>
            </w:pPr>
            <w:r w:rsidRPr="004805A9">
              <w:rPr>
                <w:sz w:val="24"/>
                <w:szCs w:val="24"/>
              </w:rPr>
              <w:t>Adoquín</w:t>
            </w:r>
            <w:r w:rsidR="00017C29" w:rsidRPr="004805A9">
              <w:rPr>
                <w:sz w:val="24"/>
                <w:szCs w:val="24"/>
              </w:rPr>
              <w:t xml:space="preserve"> 6 x 10 x 20 para transito liviano</w:t>
            </w:r>
          </w:p>
        </w:tc>
        <w:tc>
          <w:tcPr>
            <w:tcW w:w="1465" w:type="dxa"/>
            <w:noWrap/>
            <w:hideMark/>
          </w:tcPr>
          <w:p w14:paraId="700DE467" w14:textId="77777777" w:rsidR="00017C29" w:rsidRPr="004805A9" w:rsidRDefault="00017C29" w:rsidP="004805A9">
            <w:pPr>
              <w:jc w:val="center"/>
              <w:rPr>
                <w:sz w:val="24"/>
                <w:szCs w:val="24"/>
              </w:rPr>
            </w:pPr>
            <w:r w:rsidRPr="004805A9">
              <w:rPr>
                <w:sz w:val="24"/>
                <w:szCs w:val="24"/>
              </w:rPr>
              <w:t>m³</w:t>
            </w:r>
          </w:p>
        </w:tc>
        <w:tc>
          <w:tcPr>
            <w:tcW w:w="1035" w:type="dxa"/>
            <w:hideMark/>
          </w:tcPr>
          <w:p w14:paraId="60003588" w14:textId="3308B688" w:rsidR="00017C29" w:rsidRPr="004805A9" w:rsidRDefault="00131BDC" w:rsidP="004805A9">
            <w:pPr>
              <w:jc w:val="center"/>
              <w:rPr>
                <w:sz w:val="24"/>
                <w:szCs w:val="24"/>
              </w:rPr>
            </w:pPr>
            <w:r>
              <w:rPr>
                <w:sz w:val="24"/>
                <w:szCs w:val="24"/>
              </w:rPr>
              <w:t>288</w:t>
            </w:r>
          </w:p>
        </w:tc>
        <w:tc>
          <w:tcPr>
            <w:tcW w:w="1680" w:type="dxa"/>
            <w:noWrap/>
          </w:tcPr>
          <w:p w14:paraId="031294D3" w14:textId="72EAE144" w:rsidR="00017C29" w:rsidRPr="00017C29" w:rsidRDefault="00017C29" w:rsidP="00017C29"/>
        </w:tc>
        <w:tc>
          <w:tcPr>
            <w:tcW w:w="1442" w:type="dxa"/>
            <w:noWrap/>
          </w:tcPr>
          <w:p w14:paraId="7AE42423" w14:textId="730DC927" w:rsidR="00017C29" w:rsidRPr="00017C29" w:rsidRDefault="00017C29" w:rsidP="00017C29"/>
        </w:tc>
      </w:tr>
      <w:tr w:rsidR="00017C29" w:rsidRPr="00017C29" w14:paraId="4DA18187" w14:textId="77777777" w:rsidTr="00131BDC">
        <w:trPr>
          <w:trHeight w:val="361"/>
        </w:trPr>
        <w:tc>
          <w:tcPr>
            <w:tcW w:w="973" w:type="dxa"/>
            <w:noWrap/>
            <w:hideMark/>
          </w:tcPr>
          <w:p w14:paraId="6C4EBA57" w14:textId="77777777" w:rsidR="00017C29" w:rsidRPr="004805A9" w:rsidRDefault="00017C29" w:rsidP="004805A9">
            <w:pPr>
              <w:jc w:val="center"/>
              <w:rPr>
                <w:sz w:val="24"/>
                <w:szCs w:val="24"/>
              </w:rPr>
            </w:pPr>
            <w:r w:rsidRPr="004805A9">
              <w:rPr>
                <w:sz w:val="24"/>
                <w:szCs w:val="24"/>
              </w:rPr>
              <w:t>2</w:t>
            </w:r>
          </w:p>
        </w:tc>
        <w:tc>
          <w:tcPr>
            <w:tcW w:w="3568" w:type="dxa"/>
            <w:noWrap/>
            <w:hideMark/>
          </w:tcPr>
          <w:p w14:paraId="234F8076" w14:textId="77777777" w:rsidR="00017C29" w:rsidRPr="004805A9" w:rsidRDefault="00017C29">
            <w:pPr>
              <w:rPr>
                <w:sz w:val="24"/>
                <w:szCs w:val="24"/>
              </w:rPr>
            </w:pPr>
            <w:r w:rsidRPr="004805A9">
              <w:rPr>
                <w:sz w:val="24"/>
                <w:szCs w:val="24"/>
              </w:rPr>
              <w:t>Cemento x 25 Kg</w:t>
            </w:r>
          </w:p>
        </w:tc>
        <w:tc>
          <w:tcPr>
            <w:tcW w:w="1465" w:type="dxa"/>
            <w:noWrap/>
            <w:hideMark/>
          </w:tcPr>
          <w:p w14:paraId="3BFFF53A" w14:textId="77777777" w:rsidR="00017C29" w:rsidRPr="004805A9" w:rsidRDefault="00017C29" w:rsidP="004805A9">
            <w:pPr>
              <w:jc w:val="center"/>
              <w:rPr>
                <w:sz w:val="24"/>
                <w:szCs w:val="24"/>
              </w:rPr>
            </w:pPr>
            <w:r w:rsidRPr="004805A9">
              <w:rPr>
                <w:sz w:val="24"/>
                <w:szCs w:val="24"/>
              </w:rPr>
              <w:t>m³</w:t>
            </w:r>
          </w:p>
        </w:tc>
        <w:tc>
          <w:tcPr>
            <w:tcW w:w="1035" w:type="dxa"/>
            <w:hideMark/>
          </w:tcPr>
          <w:p w14:paraId="656F7B0C" w14:textId="3CB315B4" w:rsidR="00017C29" w:rsidRPr="004805A9" w:rsidRDefault="00131BDC" w:rsidP="004805A9">
            <w:pPr>
              <w:jc w:val="center"/>
              <w:rPr>
                <w:sz w:val="24"/>
                <w:szCs w:val="24"/>
              </w:rPr>
            </w:pPr>
            <w:r>
              <w:rPr>
                <w:sz w:val="24"/>
                <w:szCs w:val="24"/>
              </w:rPr>
              <w:t>18</w:t>
            </w:r>
          </w:p>
        </w:tc>
        <w:tc>
          <w:tcPr>
            <w:tcW w:w="1680" w:type="dxa"/>
            <w:noWrap/>
          </w:tcPr>
          <w:p w14:paraId="00D0786B" w14:textId="60DCE1B9" w:rsidR="00017C29" w:rsidRPr="00017C29" w:rsidRDefault="00017C29" w:rsidP="00017C29"/>
        </w:tc>
        <w:tc>
          <w:tcPr>
            <w:tcW w:w="1442" w:type="dxa"/>
            <w:noWrap/>
          </w:tcPr>
          <w:p w14:paraId="58A85A6A" w14:textId="37D0D089" w:rsidR="00017C29" w:rsidRPr="00017C29" w:rsidRDefault="00017C29" w:rsidP="00017C29"/>
        </w:tc>
      </w:tr>
      <w:tr w:rsidR="00017C29" w:rsidRPr="00017C29" w14:paraId="15CF75A8" w14:textId="77777777" w:rsidTr="00131BDC">
        <w:trPr>
          <w:trHeight w:val="378"/>
        </w:trPr>
        <w:tc>
          <w:tcPr>
            <w:tcW w:w="973" w:type="dxa"/>
            <w:noWrap/>
            <w:hideMark/>
          </w:tcPr>
          <w:p w14:paraId="47F3085C" w14:textId="77777777" w:rsidR="00017C29" w:rsidRPr="00017C29" w:rsidRDefault="00017C29" w:rsidP="00017C29">
            <w:pPr>
              <w:rPr>
                <w:b/>
                <w:bCs/>
              </w:rPr>
            </w:pPr>
            <w:r w:rsidRPr="00017C29">
              <w:rPr>
                <w:b/>
                <w:bCs/>
              </w:rPr>
              <w:t>Total</w:t>
            </w:r>
          </w:p>
        </w:tc>
        <w:tc>
          <w:tcPr>
            <w:tcW w:w="3568" w:type="dxa"/>
            <w:noWrap/>
            <w:hideMark/>
          </w:tcPr>
          <w:p w14:paraId="519495FA" w14:textId="77777777" w:rsidR="00017C29" w:rsidRPr="00017C29" w:rsidRDefault="00017C29" w:rsidP="00017C29">
            <w:pPr>
              <w:rPr>
                <w:b/>
                <w:bCs/>
              </w:rPr>
            </w:pPr>
          </w:p>
        </w:tc>
        <w:tc>
          <w:tcPr>
            <w:tcW w:w="1465" w:type="dxa"/>
            <w:noWrap/>
            <w:hideMark/>
          </w:tcPr>
          <w:p w14:paraId="4C4A6885" w14:textId="77777777" w:rsidR="00017C29" w:rsidRPr="00017C29" w:rsidRDefault="00017C29"/>
        </w:tc>
        <w:tc>
          <w:tcPr>
            <w:tcW w:w="1035" w:type="dxa"/>
            <w:noWrap/>
            <w:hideMark/>
          </w:tcPr>
          <w:p w14:paraId="5D9881D8" w14:textId="77777777" w:rsidR="00017C29" w:rsidRPr="00017C29" w:rsidRDefault="00017C29" w:rsidP="00017C29">
            <w:pPr>
              <w:rPr>
                <w:b/>
                <w:bCs/>
              </w:rPr>
            </w:pPr>
            <w:r w:rsidRPr="00017C29">
              <w:rPr>
                <w:b/>
                <w:bCs/>
              </w:rPr>
              <w:t> </w:t>
            </w:r>
          </w:p>
        </w:tc>
        <w:tc>
          <w:tcPr>
            <w:tcW w:w="1680" w:type="dxa"/>
            <w:noWrap/>
            <w:hideMark/>
          </w:tcPr>
          <w:p w14:paraId="3EBA18E8" w14:textId="77777777" w:rsidR="00017C29" w:rsidRPr="00017C29" w:rsidRDefault="00017C29" w:rsidP="00017C29">
            <w:pPr>
              <w:rPr>
                <w:b/>
                <w:bCs/>
              </w:rPr>
            </w:pPr>
            <w:r w:rsidRPr="00017C29">
              <w:rPr>
                <w:b/>
                <w:bCs/>
              </w:rPr>
              <w:t> </w:t>
            </w:r>
          </w:p>
        </w:tc>
        <w:tc>
          <w:tcPr>
            <w:tcW w:w="1442" w:type="dxa"/>
            <w:noWrap/>
            <w:hideMark/>
          </w:tcPr>
          <w:p w14:paraId="045A432B" w14:textId="0E923FBD" w:rsidR="00017C29" w:rsidRPr="00017C29" w:rsidRDefault="00017C29" w:rsidP="00017C29">
            <w:pPr>
              <w:rPr>
                <w:b/>
                <w:bCs/>
              </w:rPr>
            </w:pPr>
          </w:p>
        </w:tc>
      </w:tr>
    </w:tbl>
    <w:p w14:paraId="356B657B" w14:textId="3DB58BA7" w:rsidR="002507F8" w:rsidRDefault="002507F8"/>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D9AD" w14:textId="77777777" w:rsidR="00CA2CED" w:rsidRDefault="00CA2CED" w:rsidP="00D54B95">
      <w:pPr>
        <w:spacing w:after="0" w:line="240" w:lineRule="auto"/>
      </w:pPr>
      <w:r>
        <w:separator/>
      </w:r>
    </w:p>
  </w:endnote>
  <w:endnote w:type="continuationSeparator" w:id="0">
    <w:p w14:paraId="65BAEE80" w14:textId="77777777" w:rsidR="00CA2CED" w:rsidRDefault="00CA2CED"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CD3B" w14:textId="77777777" w:rsidR="00CA2CED" w:rsidRDefault="00CA2CED" w:rsidP="00D54B95">
      <w:pPr>
        <w:spacing w:after="0" w:line="240" w:lineRule="auto"/>
      </w:pPr>
      <w:r>
        <w:separator/>
      </w:r>
    </w:p>
  </w:footnote>
  <w:footnote w:type="continuationSeparator" w:id="0">
    <w:p w14:paraId="3A0BBEAE" w14:textId="77777777" w:rsidR="00CA2CED" w:rsidRDefault="00CA2CED"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ED2231B"/>
    <w:multiLevelType w:val="multilevel"/>
    <w:tmpl w:val="D0FE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2"/>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17C29"/>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1BDC"/>
    <w:rsid w:val="0013631D"/>
    <w:rsid w:val="00146332"/>
    <w:rsid w:val="00146AE6"/>
    <w:rsid w:val="00153029"/>
    <w:rsid w:val="00157108"/>
    <w:rsid w:val="00165AFC"/>
    <w:rsid w:val="001700A9"/>
    <w:rsid w:val="001744BF"/>
    <w:rsid w:val="00184803"/>
    <w:rsid w:val="0018613D"/>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129B"/>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805A9"/>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67BD2"/>
    <w:rsid w:val="00787320"/>
    <w:rsid w:val="00787574"/>
    <w:rsid w:val="007B0C84"/>
    <w:rsid w:val="007B538E"/>
    <w:rsid w:val="007C7561"/>
    <w:rsid w:val="007F211A"/>
    <w:rsid w:val="007F612F"/>
    <w:rsid w:val="00807AD4"/>
    <w:rsid w:val="0081025C"/>
    <w:rsid w:val="00812089"/>
    <w:rsid w:val="00820D16"/>
    <w:rsid w:val="008329E8"/>
    <w:rsid w:val="00832E18"/>
    <w:rsid w:val="0084581F"/>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4736E"/>
    <w:rsid w:val="00C53008"/>
    <w:rsid w:val="00C80E48"/>
    <w:rsid w:val="00C817AA"/>
    <w:rsid w:val="00C82082"/>
    <w:rsid w:val="00C8325A"/>
    <w:rsid w:val="00C97A45"/>
    <w:rsid w:val="00CA021E"/>
    <w:rsid w:val="00CA2CED"/>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46C0B"/>
    <w:rsid w:val="00D5276F"/>
    <w:rsid w:val="00D54B95"/>
    <w:rsid w:val="00D55861"/>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444885838">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802114231">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24560366">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7980156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86639899">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649280952">
      <w:bodyDiv w:val="1"/>
      <w:marLeft w:val="0"/>
      <w:marRight w:val="0"/>
      <w:marTop w:val="0"/>
      <w:marBottom w:val="0"/>
      <w:divBdr>
        <w:top w:val="none" w:sz="0" w:space="0" w:color="auto"/>
        <w:left w:val="none" w:sz="0" w:space="0" w:color="auto"/>
        <w:bottom w:val="none" w:sz="0" w:space="0" w:color="auto"/>
        <w:right w:val="none" w:sz="0" w:space="0" w:color="auto"/>
      </w:divBdr>
    </w:div>
    <w:div w:id="1818109024">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013070490">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4720</Words>
  <Characters>25962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8</cp:revision>
  <cp:lastPrinted>2024-02-23T11:36:00Z</cp:lastPrinted>
  <dcterms:created xsi:type="dcterms:W3CDTF">2026-06-16T14:05:00Z</dcterms:created>
  <dcterms:modified xsi:type="dcterms:W3CDTF">2026-06-16T15:45:00Z</dcterms:modified>
</cp:coreProperties>
</file>