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6ED159C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26315E">
        <w:rPr>
          <w:rFonts w:ascii="Arial" w:hAnsi="Arial" w:cs="Arial"/>
          <w:sz w:val="24"/>
          <w:szCs w:val="24"/>
          <w:lang w:val="es-MX"/>
        </w:rPr>
        <w:t>570622</w:t>
      </w:r>
    </w:p>
    <w:p w14:paraId="0CA44925" w14:textId="35F82590"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26315E" w:rsidRPr="0026315E">
        <w:rPr>
          <w:rFonts w:ascii="Arial" w:hAnsi="Arial" w:cs="Arial"/>
          <w:sz w:val="24"/>
          <w:szCs w:val="24"/>
          <w:lang w:val="es-MX"/>
        </w:rPr>
        <w:t>Adquisición de bandoleras reflectivas elastizadas de seguridad vial, destinadas al personal operativo de las distintas áreas dependientes de la Secretaría de Infraestructura y Ecología de la Municipalidad de San Ramón de la Nueva Orán.</w:t>
      </w:r>
    </w:p>
    <w:bookmarkEnd w:id="0"/>
    <w:p w14:paraId="17EE21AB" w14:textId="441599E1"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5B59AC">
        <w:rPr>
          <w:rFonts w:ascii="Arial" w:hAnsi="Arial" w:cs="Arial"/>
          <w:sz w:val="24"/>
          <w:szCs w:val="24"/>
          <w:lang w:val="es-MX"/>
        </w:rPr>
        <w:t>5</w:t>
      </w:r>
      <w:r w:rsidR="00E43BD1" w:rsidRPr="00E43BD1">
        <w:rPr>
          <w:rFonts w:ascii="Arial" w:hAnsi="Arial" w:cs="Arial"/>
          <w:sz w:val="24"/>
          <w:szCs w:val="24"/>
        </w:rPr>
        <w:t xml:space="preserve"> de </w:t>
      </w:r>
      <w:r w:rsidR="0026315E">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207F2BD"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5B59AC">
        <w:rPr>
          <w:rFonts w:ascii="Arial" w:hAnsi="Arial" w:cs="Arial"/>
          <w:sz w:val="24"/>
          <w:szCs w:val="24"/>
          <w:lang w:val="es-419"/>
        </w:rPr>
        <w:t>5</w:t>
      </w:r>
      <w:r w:rsidRPr="00A066CE">
        <w:rPr>
          <w:rFonts w:ascii="Arial" w:hAnsi="Arial" w:cs="Arial"/>
          <w:sz w:val="24"/>
          <w:szCs w:val="24"/>
          <w:lang w:val="es-419"/>
        </w:rPr>
        <w:t>/0</w:t>
      </w:r>
      <w:r w:rsidR="0026315E">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77C0934A" w14:textId="77777777" w:rsidR="00FD1337" w:rsidRPr="00FA3D52" w:rsidRDefault="00FD1337" w:rsidP="00FD1337">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5E0D959C"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26315E" w:rsidRPr="0026315E">
        <w:rPr>
          <w:rFonts w:ascii="Arial" w:hAnsi="Arial" w:cs="Arial"/>
          <w:sz w:val="24"/>
          <w:szCs w:val="24"/>
          <w:lang w:val="es-MX"/>
        </w:rPr>
        <w:t>cien (100) bandoleras reflectivas elastizadas de seguridad vial, destinadas al personal afectado a tareas operativas de la Secretaría de Infraestructura (Adoquines, Alumbrado Público, Bituminoso, Obras Públicas, Máquinas Viales, Taller de Carpintería y Metalúrgica) y de la Dirección de Ecología (Desmalezado, Jardinería, Plazas y Vivero Municipal), a fin de mejorar las condiciones de visibilidad y seguridad del personal en la vía pública y sectores de trabajo</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4A315CDC"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2BBB2915" w:rsidR="00A73838" w:rsidRDefault="00A73838" w:rsidP="00A73838">
      <w:pPr>
        <w:spacing w:line="360" w:lineRule="auto"/>
        <w:jc w:val="center"/>
        <w:rPr>
          <w:rFonts w:ascii="Arial" w:hAnsi="Arial" w:cs="Arial"/>
          <w:sz w:val="24"/>
          <w:szCs w:val="24"/>
          <w:lang w:val="es-MX"/>
        </w:rPr>
      </w:pPr>
    </w:p>
    <w:p w14:paraId="3D869065"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58B47B6C" w14:textId="77777777" w:rsidR="008F4B44" w:rsidRDefault="008F4B44" w:rsidP="008F4B44">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3D4DB6F6" w14:textId="68AD4B63"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pPr w:leftFromText="141" w:rightFromText="141" w:vertAnchor="text" w:horzAnchor="margin" w:tblpXSpec="center" w:tblpY="375"/>
        <w:tblW w:w="9918" w:type="dxa"/>
        <w:tblLook w:val="04A0" w:firstRow="1" w:lastRow="0" w:firstColumn="1" w:lastColumn="0" w:noHBand="0" w:noVBand="1"/>
      </w:tblPr>
      <w:tblGrid>
        <w:gridCol w:w="1236"/>
        <w:gridCol w:w="3328"/>
        <w:gridCol w:w="1331"/>
        <w:gridCol w:w="1243"/>
        <w:gridCol w:w="1524"/>
        <w:gridCol w:w="1346"/>
      </w:tblGrid>
      <w:tr w:rsidR="00FD1337" w:rsidRPr="008F4B44" w14:paraId="661F8774" w14:textId="77777777" w:rsidTr="00FD1337">
        <w:trPr>
          <w:trHeight w:val="495"/>
        </w:trPr>
        <w:tc>
          <w:tcPr>
            <w:tcW w:w="1236" w:type="dxa"/>
            <w:hideMark/>
          </w:tcPr>
          <w:p w14:paraId="360E61CF"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Renglón</w:t>
            </w:r>
          </w:p>
        </w:tc>
        <w:tc>
          <w:tcPr>
            <w:tcW w:w="3328" w:type="dxa"/>
            <w:hideMark/>
          </w:tcPr>
          <w:p w14:paraId="60CB1D4F"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Detalles</w:t>
            </w:r>
          </w:p>
        </w:tc>
        <w:tc>
          <w:tcPr>
            <w:tcW w:w="1331" w:type="dxa"/>
            <w:noWrap/>
            <w:hideMark/>
          </w:tcPr>
          <w:p w14:paraId="6B305B1B"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Unidad Medida</w:t>
            </w:r>
          </w:p>
        </w:tc>
        <w:tc>
          <w:tcPr>
            <w:tcW w:w="1153" w:type="dxa"/>
            <w:hideMark/>
          </w:tcPr>
          <w:p w14:paraId="3923FADE"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Cantidad</w:t>
            </w:r>
          </w:p>
        </w:tc>
        <w:tc>
          <w:tcPr>
            <w:tcW w:w="1524" w:type="dxa"/>
            <w:noWrap/>
            <w:hideMark/>
          </w:tcPr>
          <w:p w14:paraId="345BEB65"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Precio Unitario</w:t>
            </w:r>
          </w:p>
        </w:tc>
        <w:tc>
          <w:tcPr>
            <w:tcW w:w="1346" w:type="dxa"/>
            <w:hideMark/>
          </w:tcPr>
          <w:p w14:paraId="456245E0"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Precio Total</w:t>
            </w:r>
          </w:p>
        </w:tc>
      </w:tr>
      <w:tr w:rsidR="00FD1337" w:rsidRPr="008F4B44" w14:paraId="5789A962" w14:textId="77777777" w:rsidTr="00FD1337">
        <w:trPr>
          <w:trHeight w:val="300"/>
        </w:trPr>
        <w:tc>
          <w:tcPr>
            <w:tcW w:w="1236" w:type="dxa"/>
            <w:noWrap/>
            <w:hideMark/>
          </w:tcPr>
          <w:p w14:paraId="629C4840" w14:textId="77777777" w:rsidR="00FD1337" w:rsidRPr="00FD1337" w:rsidRDefault="00FD1337" w:rsidP="00FD1337">
            <w:pPr>
              <w:jc w:val="center"/>
              <w:rPr>
                <w:rFonts w:ascii="Arial" w:hAnsi="Arial" w:cs="Arial"/>
                <w:b/>
                <w:bCs/>
                <w:sz w:val="24"/>
                <w:szCs w:val="24"/>
              </w:rPr>
            </w:pPr>
            <w:r w:rsidRPr="00FD1337">
              <w:rPr>
                <w:rFonts w:ascii="Arial" w:hAnsi="Arial" w:cs="Arial"/>
                <w:b/>
                <w:bCs/>
                <w:sz w:val="24"/>
                <w:szCs w:val="24"/>
              </w:rPr>
              <w:t>1</w:t>
            </w:r>
          </w:p>
        </w:tc>
        <w:tc>
          <w:tcPr>
            <w:tcW w:w="3328" w:type="dxa"/>
            <w:noWrap/>
            <w:hideMark/>
          </w:tcPr>
          <w:p w14:paraId="208CBAA9" w14:textId="77777777" w:rsidR="00FD1337" w:rsidRPr="00FD1337" w:rsidRDefault="00FD1337" w:rsidP="00FD1337">
            <w:pPr>
              <w:rPr>
                <w:rFonts w:ascii="Arial" w:hAnsi="Arial" w:cs="Arial"/>
                <w:sz w:val="24"/>
                <w:szCs w:val="24"/>
              </w:rPr>
            </w:pPr>
            <w:r w:rsidRPr="00FD1337">
              <w:rPr>
                <w:rFonts w:ascii="Arial" w:hAnsi="Arial" w:cs="Arial"/>
                <w:sz w:val="24"/>
                <w:szCs w:val="24"/>
              </w:rPr>
              <w:t>Bandoleras Reflectivas de Seguridad Vial</w:t>
            </w:r>
          </w:p>
        </w:tc>
        <w:tc>
          <w:tcPr>
            <w:tcW w:w="1331" w:type="dxa"/>
            <w:noWrap/>
            <w:hideMark/>
          </w:tcPr>
          <w:p w14:paraId="51E19F17" w14:textId="77777777" w:rsidR="00FD1337" w:rsidRPr="00FD1337" w:rsidRDefault="00FD1337" w:rsidP="00FD1337">
            <w:pPr>
              <w:jc w:val="center"/>
              <w:rPr>
                <w:rFonts w:ascii="Arial" w:hAnsi="Arial" w:cs="Arial"/>
                <w:sz w:val="24"/>
                <w:szCs w:val="24"/>
              </w:rPr>
            </w:pPr>
            <w:r w:rsidRPr="00FD1337">
              <w:rPr>
                <w:rFonts w:ascii="Arial" w:hAnsi="Arial" w:cs="Arial"/>
                <w:sz w:val="24"/>
                <w:szCs w:val="24"/>
              </w:rPr>
              <w:t>unidad</w:t>
            </w:r>
          </w:p>
        </w:tc>
        <w:tc>
          <w:tcPr>
            <w:tcW w:w="1153" w:type="dxa"/>
            <w:hideMark/>
          </w:tcPr>
          <w:p w14:paraId="57A109F3" w14:textId="77777777" w:rsidR="00FD1337" w:rsidRPr="00FD1337" w:rsidRDefault="00FD1337" w:rsidP="00FD1337">
            <w:pPr>
              <w:jc w:val="center"/>
              <w:rPr>
                <w:rFonts w:ascii="Arial" w:hAnsi="Arial" w:cs="Arial"/>
                <w:sz w:val="24"/>
                <w:szCs w:val="24"/>
              </w:rPr>
            </w:pPr>
            <w:r w:rsidRPr="00FD1337">
              <w:rPr>
                <w:rFonts w:ascii="Arial" w:hAnsi="Arial" w:cs="Arial"/>
                <w:sz w:val="24"/>
                <w:szCs w:val="24"/>
              </w:rPr>
              <w:t>100</w:t>
            </w:r>
          </w:p>
        </w:tc>
        <w:tc>
          <w:tcPr>
            <w:tcW w:w="1524" w:type="dxa"/>
            <w:noWrap/>
          </w:tcPr>
          <w:p w14:paraId="58078BE3" w14:textId="528D91F7" w:rsidR="00FD1337" w:rsidRPr="00FD1337" w:rsidRDefault="00FD1337" w:rsidP="00FD1337">
            <w:pPr>
              <w:rPr>
                <w:rFonts w:ascii="Arial" w:hAnsi="Arial" w:cs="Arial"/>
                <w:sz w:val="24"/>
                <w:szCs w:val="24"/>
              </w:rPr>
            </w:pPr>
          </w:p>
        </w:tc>
        <w:tc>
          <w:tcPr>
            <w:tcW w:w="1346" w:type="dxa"/>
            <w:noWrap/>
          </w:tcPr>
          <w:p w14:paraId="348E70C9" w14:textId="2C339951" w:rsidR="00FD1337" w:rsidRPr="00FD1337" w:rsidRDefault="00FD1337" w:rsidP="00FD1337">
            <w:pPr>
              <w:rPr>
                <w:rFonts w:ascii="Arial" w:hAnsi="Arial" w:cs="Arial"/>
                <w:sz w:val="24"/>
                <w:szCs w:val="24"/>
              </w:rPr>
            </w:pPr>
          </w:p>
        </w:tc>
      </w:tr>
    </w:tbl>
    <w:p w14:paraId="356B657B" w14:textId="2AC4CB68" w:rsidR="002507F8" w:rsidRDefault="002507F8"/>
    <w:p w14:paraId="62CDD75C" w14:textId="5B32110B"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4A60" w14:textId="77777777" w:rsidR="005A5FE2" w:rsidRDefault="005A5FE2" w:rsidP="00D54B95">
      <w:pPr>
        <w:spacing w:after="0" w:line="240" w:lineRule="auto"/>
      </w:pPr>
      <w:r>
        <w:separator/>
      </w:r>
    </w:p>
  </w:endnote>
  <w:endnote w:type="continuationSeparator" w:id="0">
    <w:p w14:paraId="1FD0339E" w14:textId="77777777" w:rsidR="005A5FE2" w:rsidRDefault="005A5FE2"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BB41" w14:textId="77777777" w:rsidR="005A5FE2" w:rsidRDefault="005A5FE2" w:rsidP="00D54B95">
      <w:pPr>
        <w:spacing w:after="0" w:line="240" w:lineRule="auto"/>
      </w:pPr>
      <w:r>
        <w:separator/>
      </w:r>
    </w:p>
  </w:footnote>
  <w:footnote w:type="continuationSeparator" w:id="0">
    <w:p w14:paraId="09AB6B97" w14:textId="77777777" w:rsidR="005A5FE2" w:rsidRDefault="005A5FE2"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6315E"/>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A5FE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4B44"/>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1337"/>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46962252">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727756989">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4704</Words>
  <Characters>25876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16</cp:revision>
  <cp:lastPrinted>2024-02-23T11:36:00Z</cp:lastPrinted>
  <dcterms:created xsi:type="dcterms:W3CDTF">2026-04-07T16:42:00Z</dcterms:created>
  <dcterms:modified xsi:type="dcterms:W3CDTF">2026-05-07T14:52:00Z</dcterms:modified>
</cp:coreProperties>
</file>