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BA20EDE"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C64B44">
        <w:rPr>
          <w:rFonts w:ascii="Arial" w:hAnsi="Arial" w:cs="Arial"/>
          <w:sz w:val="24"/>
          <w:szCs w:val="24"/>
          <w:lang w:val="es-MX"/>
        </w:rPr>
        <w:t>570320</w:t>
      </w:r>
    </w:p>
    <w:p w14:paraId="0CA44925" w14:textId="68A04BB4"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C64B44" w:rsidRPr="00C64B44">
        <w:rPr>
          <w:rFonts w:ascii="Arial" w:hAnsi="Arial" w:cs="Arial"/>
          <w:sz w:val="24"/>
          <w:szCs w:val="24"/>
        </w:rPr>
        <w:t>Adquisición de fertilizantes de liberación controlada, destinados a la producción de plantines en el Vivero Forestal Municipal, conforme a las especificaciones técnicas establecidas en el presente pliego</w:t>
      </w:r>
      <w:r w:rsidR="00C64B44">
        <w:rPr>
          <w:rFonts w:ascii="Arial" w:hAnsi="Arial" w:cs="Arial"/>
          <w:sz w:val="24"/>
          <w:szCs w:val="24"/>
        </w:rPr>
        <w:t>.</w:t>
      </w:r>
    </w:p>
    <w:bookmarkEnd w:id="0"/>
    <w:p w14:paraId="17EE21AB" w14:textId="2FD52E15"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64B44">
        <w:rPr>
          <w:rFonts w:ascii="Arial" w:hAnsi="Arial" w:cs="Arial"/>
          <w:sz w:val="24"/>
          <w:szCs w:val="24"/>
          <w:lang w:val="es-MX"/>
        </w:rPr>
        <w:t>07</w:t>
      </w:r>
      <w:r w:rsidR="00E43BD1" w:rsidRPr="00E43BD1">
        <w:rPr>
          <w:rFonts w:ascii="Arial" w:hAnsi="Arial" w:cs="Arial"/>
          <w:sz w:val="24"/>
          <w:szCs w:val="24"/>
        </w:rPr>
        <w:t xml:space="preserve"> </w:t>
      </w:r>
      <w:r w:rsidR="002F7362">
        <w:rPr>
          <w:rFonts w:ascii="Arial" w:hAnsi="Arial" w:cs="Arial"/>
          <w:sz w:val="24"/>
          <w:szCs w:val="24"/>
        </w:rPr>
        <w:t>de 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25428D53"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64B44">
        <w:rPr>
          <w:rFonts w:ascii="Arial" w:hAnsi="Arial" w:cs="Arial"/>
          <w:sz w:val="24"/>
          <w:szCs w:val="24"/>
          <w:lang w:val="es-419"/>
        </w:rPr>
        <w:t>07</w:t>
      </w:r>
      <w:r w:rsidRPr="00A066CE">
        <w:rPr>
          <w:rFonts w:ascii="Arial" w:hAnsi="Arial" w:cs="Arial"/>
          <w:sz w:val="24"/>
          <w:szCs w:val="24"/>
          <w:lang w:val="es-419"/>
        </w:rPr>
        <w:t>/0</w:t>
      </w:r>
      <w:r w:rsidR="00C64B44">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4C2E385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C64B44" w:rsidRPr="00C64B44">
        <w:rPr>
          <w:rFonts w:ascii="Arial" w:hAnsi="Arial" w:cs="Arial"/>
          <w:sz w:val="24"/>
          <w:szCs w:val="24"/>
        </w:rPr>
        <w:t>fertilizantes de liberación controlada tipo Basacote Plus 6M y 9M, en presentaciones de 25 kg, destinados a la producción de especies forestales en el Vivero Forestal Municipal, en el marco de la campaña de producción 2026–2027, conforme a cantidades, características y condiciones detalladas en el presente pliego</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6FC2EA" w14:textId="77777777" w:rsidR="005C14A3" w:rsidRDefault="005C14A3" w:rsidP="00A73838">
      <w:pPr>
        <w:spacing w:line="360" w:lineRule="auto"/>
        <w:jc w:val="center"/>
        <w:rPr>
          <w:rFonts w:ascii="Arial" w:hAnsi="Arial" w:cs="Arial"/>
          <w:b/>
          <w:bCs/>
          <w:sz w:val="28"/>
          <w:szCs w:val="28"/>
          <w:u w:val="single"/>
          <w:lang w:val="es-MX"/>
        </w:rPr>
      </w:pPr>
    </w:p>
    <w:p w14:paraId="27E560FE" w14:textId="77777777" w:rsidR="005C14A3" w:rsidRDefault="005C14A3" w:rsidP="00A73838">
      <w:pPr>
        <w:spacing w:line="360" w:lineRule="auto"/>
        <w:jc w:val="center"/>
        <w:rPr>
          <w:rFonts w:ascii="Arial" w:hAnsi="Arial" w:cs="Arial"/>
          <w:b/>
          <w:bCs/>
          <w:sz w:val="28"/>
          <w:szCs w:val="28"/>
          <w:u w:val="single"/>
          <w:lang w:val="es-MX"/>
        </w:rPr>
      </w:pPr>
    </w:p>
    <w:p w14:paraId="34858B0D" w14:textId="50A2AF1D" w:rsidR="0052652A" w:rsidRP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p w14:paraId="5166D56C" w14:textId="77777777" w:rsidR="00C64B44" w:rsidRPr="00C64B44" w:rsidRDefault="00C64B44" w:rsidP="00C64B44">
      <w:pPr>
        <w:rPr>
          <w:rFonts w:ascii="Arial" w:hAnsi="Arial" w:cs="Arial"/>
          <w:b/>
          <w:bCs/>
          <w:sz w:val="24"/>
          <w:szCs w:val="24"/>
          <w:lang w:val="es-419"/>
        </w:rPr>
      </w:pPr>
      <w:r w:rsidRPr="00C64B44">
        <w:rPr>
          <w:rFonts w:ascii="Arial" w:hAnsi="Arial" w:cs="Arial"/>
          <w:b/>
          <w:bCs/>
          <w:sz w:val="24"/>
          <w:szCs w:val="24"/>
          <w:lang w:val="es-419"/>
        </w:rPr>
        <w:t>Fertilizantes de Liberación Controlada</w:t>
      </w:r>
    </w:p>
    <w:p w14:paraId="7116656D" w14:textId="77777777" w:rsidR="00C64B44" w:rsidRPr="00C64B44" w:rsidRDefault="00C64B44" w:rsidP="00C64B44">
      <w:pPr>
        <w:rPr>
          <w:rFonts w:ascii="Arial" w:hAnsi="Arial" w:cs="Arial"/>
          <w:b/>
          <w:bCs/>
          <w:sz w:val="24"/>
          <w:szCs w:val="24"/>
          <w:lang w:val="es-419"/>
        </w:rPr>
      </w:pPr>
      <w:r w:rsidRPr="00C64B44">
        <w:rPr>
          <w:rFonts w:ascii="Arial" w:hAnsi="Arial" w:cs="Arial"/>
          <w:b/>
          <w:bCs/>
          <w:sz w:val="24"/>
          <w:szCs w:val="24"/>
          <w:lang w:val="es-419"/>
        </w:rPr>
        <w:t>1. Descripción</w:t>
      </w:r>
    </w:p>
    <w:p w14:paraId="033DF499" w14:textId="77777777" w:rsidR="00C64B44" w:rsidRPr="00C64B44" w:rsidRDefault="00C64B44" w:rsidP="00C64B44">
      <w:pPr>
        <w:rPr>
          <w:rFonts w:ascii="Arial" w:hAnsi="Arial" w:cs="Arial"/>
          <w:sz w:val="24"/>
          <w:szCs w:val="24"/>
          <w:lang w:val="es-419"/>
        </w:rPr>
      </w:pPr>
      <w:r w:rsidRPr="00C64B44">
        <w:rPr>
          <w:rFonts w:ascii="Arial" w:hAnsi="Arial" w:cs="Arial"/>
          <w:sz w:val="24"/>
          <w:szCs w:val="24"/>
          <w:lang w:val="es-419"/>
        </w:rPr>
        <w:t>Provisión de fertilizantes granulados de liberación controlada, destinados a la producción de plantines en el Vivero Forestal Municipal.</w:t>
      </w:r>
    </w:p>
    <w:p w14:paraId="13A9B968" w14:textId="77777777" w:rsidR="00C64B44" w:rsidRPr="00C64B44" w:rsidRDefault="00C64B44" w:rsidP="00C64B44">
      <w:pPr>
        <w:rPr>
          <w:rFonts w:ascii="Arial" w:hAnsi="Arial" w:cs="Arial"/>
          <w:b/>
          <w:bCs/>
          <w:sz w:val="24"/>
          <w:szCs w:val="24"/>
          <w:lang w:val="es-419"/>
        </w:rPr>
      </w:pPr>
      <w:r w:rsidRPr="00C64B44">
        <w:rPr>
          <w:rFonts w:ascii="Arial" w:hAnsi="Arial" w:cs="Arial"/>
          <w:b/>
          <w:bCs/>
          <w:sz w:val="24"/>
          <w:szCs w:val="24"/>
          <w:lang w:val="es-419"/>
        </w:rPr>
        <w:t>2. Características mínimas</w:t>
      </w:r>
    </w:p>
    <w:p w14:paraId="713A7B68" w14:textId="77777777" w:rsidR="00C64B44" w:rsidRPr="00C64B44" w:rsidRDefault="00C64B44" w:rsidP="00C64B44">
      <w:pPr>
        <w:numPr>
          <w:ilvl w:val="0"/>
          <w:numId w:val="13"/>
        </w:numPr>
        <w:rPr>
          <w:rFonts w:ascii="Arial" w:hAnsi="Arial" w:cs="Arial"/>
          <w:sz w:val="24"/>
          <w:szCs w:val="24"/>
          <w:lang w:val="es-419"/>
        </w:rPr>
      </w:pPr>
      <w:r w:rsidRPr="00C64B44">
        <w:rPr>
          <w:rFonts w:ascii="Arial" w:hAnsi="Arial" w:cs="Arial"/>
          <w:sz w:val="24"/>
          <w:szCs w:val="24"/>
          <w:lang w:val="es-419"/>
        </w:rPr>
        <w:t xml:space="preserve">Tipo: Fertilizante granulado con liberación controlada (recubrimiento polimérico o equivalente). </w:t>
      </w:r>
    </w:p>
    <w:p w14:paraId="6B9D408F" w14:textId="77777777" w:rsidR="00C64B44" w:rsidRPr="00C64B44" w:rsidRDefault="00C64B44" w:rsidP="00C64B44">
      <w:pPr>
        <w:numPr>
          <w:ilvl w:val="0"/>
          <w:numId w:val="13"/>
        </w:numPr>
        <w:rPr>
          <w:rFonts w:ascii="Arial" w:hAnsi="Arial" w:cs="Arial"/>
          <w:sz w:val="24"/>
          <w:szCs w:val="24"/>
          <w:lang w:val="es-419"/>
        </w:rPr>
      </w:pPr>
      <w:r w:rsidRPr="00C64B44">
        <w:rPr>
          <w:rFonts w:ascii="Arial" w:hAnsi="Arial" w:cs="Arial"/>
          <w:sz w:val="24"/>
          <w:szCs w:val="24"/>
          <w:lang w:val="es-419"/>
        </w:rPr>
        <w:t xml:space="preserve">Tiempo de liberación: </w:t>
      </w:r>
    </w:p>
    <w:p w14:paraId="0AC2B0DA" w14:textId="77777777" w:rsidR="00C64B44" w:rsidRPr="00C64B44" w:rsidRDefault="00C64B44" w:rsidP="00C64B44">
      <w:pPr>
        <w:numPr>
          <w:ilvl w:val="1"/>
          <w:numId w:val="13"/>
        </w:numPr>
        <w:rPr>
          <w:rFonts w:ascii="Arial" w:hAnsi="Arial" w:cs="Arial"/>
          <w:sz w:val="24"/>
          <w:szCs w:val="24"/>
          <w:lang w:val="es-419"/>
        </w:rPr>
      </w:pPr>
      <w:r w:rsidRPr="00C64B44">
        <w:rPr>
          <w:rFonts w:ascii="Arial" w:hAnsi="Arial" w:cs="Arial"/>
          <w:sz w:val="24"/>
          <w:szCs w:val="24"/>
          <w:lang w:val="es-419"/>
        </w:rPr>
        <w:t xml:space="preserve">Renglón 1: 6 meses (6M) </w:t>
      </w:r>
    </w:p>
    <w:p w14:paraId="6A075B42" w14:textId="77777777" w:rsidR="00C64B44" w:rsidRPr="00C64B44" w:rsidRDefault="00C64B44" w:rsidP="00C64B44">
      <w:pPr>
        <w:numPr>
          <w:ilvl w:val="1"/>
          <w:numId w:val="13"/>
        </w:numPr>
        <w:rPr>
          <w:rFonts w:ascii="Arial" w:hAnsi="Arial" w:cs="Arial"/>
          <w:sz w:val="24"/>
          <w:szCs w:val="24"/>
          <w:lang w:val="es-419"/>
        </w:rPr>
      </w:pPr>
      <w:r w:rsidRPr="00C64B44">
        <w:rPr>
          <w:rFonts w:ascii="Arial" w:hAnsi="Arial" w:cs="Arial"/>
          <w:sz w:val="24"/>
          <w:szCs w:val="24"/>
          <w:lang w:val="es-419"/>
        </w:rPr>
        <w:t xml:space="preserve">Renglón 2: 9 meses (9M) </w:t>
      </w:r>
    </w:p>
    <w:p w14:paraId="3744D86E" w14:textId="77777777" w:rsidR="00C64B44" w:rsidRPr="00C64B44" w:rsidRDefault="00C64B44" w:rsidP="00C64B44">
      <w:pPr>
        <w:numPr>
          <w:ilvl w:val="0"/>
          <w:numId w:val="13"/>
        </w:numPr>
        <w:rPr>
          <w:rFonts w:ascii="Arial" w:hAnsi="Arial" w:cs="Arial"/>
          <w:sz w:val="24"/>
          <w:szCs w:val="24"/>
          <w:lang w:val="es-419"/>
        </w:rPr>
      </w:pPr>
      <w:r w:rsidRPr="00C64B44">
        <w:rPr>
          <w:rFonts w:ascii="Arial" w:hAnsi="Arial" w:cs="Arial"/>
          <w:sz w:val="24"/>
          <w:szCs w:val="24"/>
          <w:lang w:val="es-419"/>
        </w:rPr>
        <w:t xml:space="preserve">Composición: NPK con micronutrientes, apto para uso en viveros forestales. </w:t>
      </w:r>
    </w:p>
    <w:p w14:paraId="672FCB8D" w14:textId="77777777" w:rsidR="00C64B44" w:rsidRPr="00C64B44" w:rsidRDefault="00C64B44" w:rsidP="00C64B44">
      <w:pPr>
        <w:numPr>
          <w:ilvl w:val="0"/>
          <w:numId w:val="13"/>
        </w:numPr>
        <w:rPr>
          <w:rFonts w:ascii="Arial" w:hAnsi="Arial" w:cs="Arial"/>
          <w:sz w:val="24"/>
          <w:szCs w:val="24"/>
          <w:lang w:val="es-419"/>
        </w:rPr>
      </w:pPr>
      <w:r w:rsidRPr="00C64B44">
        <w:rPr>
          <w:rFonts w:ascii="Arial" w:hAnsi="Arial" w:cs="Arial"/>
          <w:sz w:val="24"/>
          <w:szCs w:val="24"/>
          <w:lang w:val="es-419"/>
        </w:rPr>
        <w:t xml:space="preserve">Granulometría: Apta para mezcla con sustratos. </w:t>
      </w:r>
    </w:p>
    <w:p w14:paraId="2FA0C707" w14:textId="77777777" w:rsidR="00C64B44" w:rsidRPr="00C64B44" w:rsidRDefault="00C64B44" w:rsidP="00C64B44">
      <w:pPr>
        <w:numPr>
          <w:ilvl w:val="0"/>
          <w:numId w:val="13"/>
        </w:numPr>
        <w:rPr>
          <w:rFonts w:ascii="Arial" w:hAnsi="Arial" w:cs="Arial"/>
          <w:sz w:val="24"/>
          <w:szCs w:val="24"/>
          <w:lang w:val="es-419"/>
        </w:rPr>
      </w:pPr>
      <w:r w:rsidRPr="00C64B44">
        <w:rPr>
          <w:rFonts w:ascii="Arial" w:hAnsi="Arial" w:cs="Arial"/>
          <w:sz w:val="24"/>
          <w:szCs w:val="24"/>
          <w:lang w:val="es-419"/>
        </w:rPr>
        <w:t xml:space="preserve">Presentación: Bolsas de 25 kg, originales de fábrica. </w:t>
      </w:r>
    </w:p>
    <w:p w14:paraId="4600131C" w14:textId="77777777" w:rsidR="00C64B44" w:rsidRPr="00C64B44" w:rsidRDefault="00C64B44" w:rsidP="00C64B44">
      <w:pPr>
        <w:numPr>
          <w:ilvl w:val="0"/>
          <w:numId w:val="13"/>
        </w:numPr>
        <w:rPr>
          <w:rFonts w:ascii="Arial" w:hAnsi="Arial" w:cs="Arial"/>
          <w:sz w:val="24"/>
          <w:szCs w:val="24"/>
          <w:lang w:val="es-419"/>
        </w:rPr>
      </w:pPr>
      <w:r w:rsidRPr="00C64B44">
        <w:rPr>
          <w:rFonts w:ascii="Arial" w:hAnsi="Arial" w:cs="Arial"/>
          <w:sz w:val="24"/>
          <w:szCs w:val="24"/>
          <w:lang w:val="es-419"/>
        </w:rPr>
        <w:t xml:space="preserve">Condición: Producto nuevo, sin apelmazamiento ni humedad. </w:t>
      </w:r>
    </w:p>
    <w:p w14:paraId="2B6F90FE" w14:textId="77777777" w:rsidR="00C64B44" w:rsidRPr="00C64B44" w:rsidRDefault="00C64B44" w:rsidP="00C64B44">
      <w:pPr>
        <w:rPr>
          <w:rFonts w:ascii="Arial" w:hAnsi="Arial" w:cs="Arial"/>
          <w:b/>
          <w:bCs/>
          <w:sz w:val="24"/>
          <w:szCs w:val="24"/>
          <w:lang w:val="es-419"/>
        </w:rPr>
      </w:pPr>
      <w:r w:rsidRPr="00C64B44">
        <w:rPr>
          <w:rFonts w:ascii="Arial" w:hAnsi="Arial" w:cs="Arial"/>
          <w:b/>
          <w:bCs/>
          <w:sz w:val="24"/>
          <w:szCs w:val="24"/>
          <w:lang w:val="es-419"/>
        </w:rPr>
        <w:t>3. Entrega</w:t>
      </w:r>
    </w:p>
    <w:p w14:paraId="721A3098" w14:textId="77777777" w:rsidR="00C64B44" w:rsidRPr="00C64B44" w:rsidRDefault="00C64B44" w:rsidP="00C64B44">
      <w:pPr>
        <w:numPr>
          <w:ilvl w:val="0"/>
          <w:numId w:val="14"/>
        </w:numPr>
        <w:rPr>
          <w:rFonts w:ascii="Arial" w:hAnsi="Arial" w:cs="Arial"/>
          <w:sz w:val="24"/>
          <w:szCs w:val="24"/>
          <w:lang w:val="es-419"/>
        </w:rPr>
      </w:pPr>
      <w:r w:rsidRPr="00C64B44">
        <w:rPr>
          <w:rFonts w:ascii="Arial" w:hAnsi="Arial" w:cs="Arial"/>
          <w:sz w:val="24"/>
          <w:szCs w:val="24"/>
          <w:lang w:val="es-419"/>
        </w:rPr>
        <w:t xml:space="preserve">En el Vivero Forestal Municipal. </w:t>
      </w:r>
    </w:p>
    <w:p w14:paraId="71C72CA1" w14:textId="77777777" w:rsidR="00C64B44" w:rsidRPr="00C64B44" w:rsidRDefault="00C64B44" w:rsidP="00C64B44">
      <w:pPr>
        <w:numPr>
          <w:ilvl w:val="0"/>
          <w:numId w:val="14"/>
        </w:numPr>
        <w:rPr>
          <w:rFonts w:ascii="Arial" w:hAnsi="Arial" w:cs="Arial"/>
          <w:sz w:val="24"/>
          <w:szCs w:val="24"/>
          <w:lang w:val="es-419"/>
        </w:rPr>
      </w:pPr>
      <w:r w:rsidRPr="00C64B44">
        <w:rPr>
          <w:rFonts w:ascii="Arial" w:hAnsi="Arial" w:cs="Arial"/>
          <w:sz w:val="24"/>
          <w:szCs w:val="24"/>
          <w:lang w:val="es-419"/>
        </w:rPr>
        <w:t xml:space="preserve">A cargo del proveedor, incluyendo descarga. </w:t>
      </w:r>
    </w:p>
    <w:p w14:paraId="2D251C5D" w14:textId="77777777" w:rsidR="00C64B44" w:rsidRPr="00C64B44" w:rsidRDefault="00C64B44" w:rsidP="00C64B44">
      <w:pPr>
        <w:rPr>
          <w:rFonts w:ascii="Arial" w:hAnsi="Arial" w:cs="Arial"/>
          <w:b/>
          <w:bCs/>
          <w:sz w:val="24"/>
          <w:szCs w:val="24"/>
          <w:lang w:val="es-419"/>
        </w:rPr>
      </w:pPr>
      <w:r w:rsidRPr="00C64B44">
        <w:rPr>
          <w:rFonts w:ascii="Arial" w:hAnsi="Arial" w:cs="Arial"/>
          <w:b/>
          <w:bCs/>
          <w:sz w:val="24"/>
          <w:szCs w:val="24"/>
          <w:lang w:val="es-419"/>
        </w:rPr>
        <w:t>4. Documentación</w:t>
      </w:r>
    </w:p>
    <w:p w14:paraId="03BDDD47" w14:textId="77777777" w:rsidR="00C64B44" w:rsidRPr="00C64B44" w:rsidRDefault="00C64B44" w:rsidP="00C64B44">
      <w:pPr>
        <w:rPr>
          <w:rFonts w:ascii="Arial" w:hAnsi="Arial" w:cs="Arial"/>
          <w:sz w:val="24"/>
          <w:szCs w:val="24"/>
          <w:lang w:val="es-419"/>
        </w:rPr>
      </w:pPr>
      <w:r w:rsidRPr="00C64B44">
        <w:rPr>
          <w:rFonts w:ascii="Arial" w:hAnsi="Arial" w:cs="Arial"/>
          <w:sz w:val="24"/>
          <w:szCs w:val="24"/>
          <w:lang w:val="es-419"/>
        </w:rPr>
        <w:t>El oferente deberá indicar:</w:t>
      </w:r>
    </w:p>
    <w:p w14:paraId="25DEA255" w14:textId="77777777" w:rsidR="00C64B44" w:rsidRPr="00C64B44" w:rsidRDefault="00C64B44" w:rsidP="00C64B44">
      <w:pPr>
        <w:numPr>
          <w:ilvl w:val="0"/>
          <w:numId w:val="15"/>
        </w:numPr>
        <w:rPr>
          <w:rFonts w:ascii="Arial" w:hAnsi="Arial" w:cs="Arial"/>
          <w:sz w:val="24"/>
          <w:szCs w:val="24"/>
          <w:lang w:val="es-419"/>
        </w:rPr>
      </w:pPr>
      <w:r w:rsidRPr="00C64B44">
        <w:rPr>
          <w:rFonts w:ascii="Arial" w:hAnsi="Arial" w:cs="Arial"/>
          <w:sz w:val="24"/>
          <w:szCs w:val="24"/>
          <w:lang w:val="es-419"/>
        </w:rPr>
        <w:t xml:space="preserve">Marca y origen </w:t>
      </w:r>
    </w:p>
    <w:p w14:paraId="6906552E" w14:textId="77777777" w:rsidR="00C64B44" w:rsidRPr="00C64B44" w:rsidRDefault="00C64B44" w:rsidP="00C64B44">
      <w:pPr>
        <w:numPr>
          <w:ilvl w:val="0"/>
          <w:numId w:val="15"/>
        </w:numPr>
        <w:rPr>
          <w:rFonts w:ascii="Arial" w:hAnsi="Arial" w:cs="Arial"/>
          <w:sz w:val="24"/>
          <w:szCs w:val="24"/>
          <w:lang w:val="es-419"/>
        </w:rPr>
      </w:pPr>
      <w:r w:rsidRPr="00C64B44">
        <w:rPr>
          <w:rFonts w:ascii="Arial" w:hAnsi="Arial" w:cs="Arial"/>
          <w:sz w:val="24"/>
          <w:szCs w:val="24"/>
          <w:lang w:val="es-419"/>
        </w:rPr>
        <w:t xml:space="preserve">Composición </w:t>
      </w:r>
    </w:p>
    <w:p w14:paraId="32FEB40B" w14:textId="77777777" w:rsidR="00C64B44" w:rsidRPr="00C64B44" w:rsidRDefault="00C64B44" w:rsidP="00C64B44">
      <w:pPr>
        <w:numPr>
          <w:ilvl w:val="0"/>
          <w:numId w:val="15"/>
        </w:numPr>
        <w:rPr>
          <w:rFonts w:ascii="Arial" w:hAnsi="Arial" w:cs="Arial"/>
          <w:sz w:val="24"/>
          <w:szCs w:val="24"/>
          <w:lang w:val="es-419"/>
        </w:rPr>
      </w:pPr>
      <w:r w:rsidRPr="00C64B44">
        <w:rPr>
          <w:rFonts w:ascii="Arial" w:hAnsi="Arial" w:cs="Arial"/>
          <w:sz w:val="24"/>
          <w:szCs w:val="24"/>
          <w:lang w:val="es-419"/>
        </w:rPr>
        <w:t xml:space="preserve">Tiempo de liberación </w:t>
      </w:r>
    </w:p>
    <w:p w14:paraId="704DE28F" w14:textId="77777777" w:rsidR="00C64B44" w:rsidRPr="00C64B44" w:rsidRDefault="00C64B44" w:rsidP="00C64B44">
      <w:pPr>
        <w:numPr>
          <w:ilvl w:val="0"/>
          <w:numId w:val="15"/>
        </w:numPr>
        <w:rPr>
          <w:rFonts w:ascii="Arial" w:hAnsi="Arial" w:cs="Arial"/>
          <w:sz w:val="24"/>
          <w:szCs w:val="24"/>
          <w:lang w:val="es-419"/>
        </w:rPr>
      </w:pPr>
      <w:r w:rsidRPr="00C64B44">
        <w:rPr>
          <w:rFonts w:ascii="Arial" w:hAnsi="Arial" w:cs="Arial"/>
          <w:sz w:val="24"/>
          <w:szCs w:val="24"/>
          <w:lang w:val="es-419"/>
        </w:rPr>
        <w:t xml:space="preserve">Ficha técnica </w:t>
      </w:r>
    </w:p>
    <w:p w14:paraId="5C2E65D4" w14:textId="77777777" w:rsidR="00C64B44" w:rsidRPr="00C64B44" w:rsidRDefault="00C64B44" w:rsidP="00C64B44">
      <w:pPr>
        <w:rPr>
          <w:rFonts w:ascii="Arial" w:hAnsi="Arial" w:cs="Arial"/>
          <w:b/>
          <w:bCs/>
          <w:sz w:val="24"/>
          <w:szCs w:val="24"/>
          <w:lang w:val="es-419"/>
        </w:rPr>
      </w:pPr>
      <w:r w:rsidRPr="00C64B44">
        <w:rPr>
          <w:rFonts w:ascii="Arial" w:hAnsi="Arial" w:cs="Arial"/>
          <w:b/>
          <w:bCs/>
          <w:sz w:val="24"/>
          <w:szCs w:val="24"/>
          <w:lang w:val="es-419"/>
        </w:rPr>
        <w:t>5. Condición de equivalencia</w:t>
      </w:r>
    </w:p>
    <w:p w14:paraId="7B056B46" w14:textId="77777777" w:rsidR="00C64B44" w:rsidRPr="00C64B44" w:rsidRDefault="00C64B44" w:rsidP="00C64B44">
      <w:pPr>
        <w:rPr>
          <w:rFonts w:ascii="Arial" w:hAnsi="Arial" w:cs="Arial"/>
          <w:sz w:val="24"/>
          <w:szCs w:val="24"/>
          <w:lang w:val="es-419"/>
        </w:rPr>
      </w:pPr>
      <w:r w:rsidRPr="00C64B44">
        <w:rPr>
          <w:rFonts w:ascii="Arial" w:hAnsi="Arial" w:cs="Arial"/>
          <w:sz w:val="24"/>
          <w:szCs w:val="24"/>
          <w:lang w:val="es-419"/>
        </w:rPr>
        <w:t>Se aceptarán productos equivalentes a fertilizantes tipo Basacote u otras marcas reconocidas, siempre que cumplan con las características solicitadas.</w:t>
      </w:r>
    </w:p>
    <w:p w14:paraId="6163A6A7" w14:textId="77777777" w:rsidR="00C64B44" w:rsidRDefault="00C64B44">
      <w:pPr>
        <w:rPr>
          <w:rFonts w:ascii="Arial" w:hAnsi="Arial" w:cs="Arial"/>
          <w:b/>
          <w:bCs/>
          <w:sz w:val="24"/>
          <w:szCs w:val="24"/>
          <w:u w:val="single"/>
        </w:rPr>
      </w:pPr>
    </w:p>
    <w:p w14:paraId="5536B165" w14:textId="45584E4A" w:rsidR="00FB0D55" w:rsidRPr="00FB0D55" w:rsidRDefault="00FB0D55">
      <w:pPr>
        <w:rPr>
          <w:rFonts w:ascii="Arial" w:hAnsi="Arial" w:cs="Arial"/>
          <w:b/>
          <w:bCs/>
          <w:sz w:val="24"/>
          <w:szCs w:val="24"/>
        </w:rPr>
      </w:pPr>
      <w:r w:rsidRPr="00FB0D55">
        <w:rPr>
          <w:rFonts w:ascii="Arial" w:hAnsi="Arial" w:cs="Arial"/>
          <w:b/>
          <w:bCs/>
          <w:sz w:val="24"/>
          <w:szCs w:val="24"/>
        </w:rPr>
        <w:t>No se aceptarán fertilizantes de liberación rápida o convencional</w:t>
      </w:r>
    </w:p>
    <w:p w14:paraId="3D4DB6F6" w14:textId="35C15716"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399"/>
        <w:gridCol w:w="1361"/>
        <w:gridCol w:w="1257"/>
        <w:gridCol w:w="1877"/>
        <w:gridCol w:w="1624"/>
      </w:tblGrid>
      <w:tr w:rsidR="002507F8" w:rsidRPr="002507F8" w14:paraId="66A2CA49" w14:textId="77777777" w:rsidTr="00B17B0C">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399"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361"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B17B0C">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399" w:type="dxa"/>
            <w:noWrap/>
          </w:tcPr>
          <w:p w14:paraId="786257EC" w14:textId="0FF0603C" w:rsidR="002507F8" w:rsidRPr="002507F8" w:rsidRDefault="00B17B0C">
            <w:pPr>
              <w:rPr>
                <w:rFonts w:ascii="Arial" w:hAnsi="Arial" w:cs="Arial"/>
                <w:sz w:val="24"/>
                <w:szCs w:val="24"/>
              </w:rPr>
            </w:pPr>
            <w:r w:rsidRPr="00B17B0C">
              <w:rPr>
                <w:rFonts w:ascii="Arial" w:hAnsi="Arial" w:cs="Arial"/>
                <w:sz w:val="24"/>
                <w:szCs w:val="24"/>
              </w:rPr>
              <w:t>Fertilizante Basacote plus 6M x 25Kgs</w:t>
            </w:r>
          </w:p>
        </w:tc>
        <w:tc>
          <w:tcPr>
            <w:tcW w:w="1361" w:type="dxa"/>
            <w:noWrap/>
            <w:hideMark/>
          </w:tcPr>
          <w:p w14:paraId="6FD3FCC1" w14:textId="19DC3B69" w:rsidR="002507F8" w:rsidRPr="002507F8" w:rsidRDefault="00B673F9" w:rsidP="002507F8">
            <w:pPr>
              <w:jc w:val="center"/>
              <w:rPr>
                <w:rFonts w:ascii="Arial" w:hAnsi="Arial" w:cs="Arial"/>
                <w:sz w:val="24"/>
                <w:szCs w:val="24"/>
              </w:rPr>
            </w:pPr>
            <w:r>
              <w:rPr>
                <w:rFonts w:ascii="Arial" w:hAnsi="Arial" w:cs="Arial"/>
                <w:sz w:val="24"/>
                <w:szCs w:val="24"/>
              </w:rPr>
              <w:t>Unidad</w:t>
            </w:r>
          </w:p>
        </w:tc>
        <w:tc>
          <w:tcPr>
            <w:tcW w:w="1257" w:type="dxa"/>
            <w:noWrap/>
            <w:hideMark/>
          </w:tcPr>
          <w:p w14:paraId="32947A6A" w14:textId="0E28324E" w:rsidR="002507F8" w:rsidRPr="002507F8" w:rsidRDefault="00B17B0C" w:rsidP="00B17B0C">
            <w:pPr>
              <w:jc w:val="center"/>
              <w:rPr>
                <w:rFonts w:ascii="Arial" w:hAnsi="Arial" w:cs="Arial"/>
                <w:sz w:val="24"/>
                <w:szCs w:val="24"/>
              </w:rPr>
            </w:pPr>
            <w:r>
              <w:rPr>
                <w:rFonts w:ascii="Arial" w:hAnsi="Arial" w:cs="Arial"/>
                <w:sz w:val="24"/>
                <w:szCs w:val="24"/>
              </w:rPr>
              <w:t>6</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r w:rsidR="002507F8" w:rsidRPr="002507F8" w14:paraId="7EF79AE2" w14:textId="77777777" w:rsidTr="00B17B0C">
        <w:trPr>
          <w:trHeight w:val="230"/>
        </w:trPr>
        <w:tc>
          <w:tcPr>
            <w:tcW w:w="1189" w:type="dxa"/>
            <w:noWrap/>
            <w:hideMark/>
          </w:tcPr>
          <w:p w14:paraId="2F76FE5D"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2</w:t>
            </w:r>
          </w:p>
        </w:tc>
        <w:tc>
          <w:tcPr>
            <w:tcW w:w="3399" w:type="dxa"/>
            <w:noWrap/>
            <w:hideMark/>
          </w:tcPr>
          <w:p w14:paraId="0308FCBF" w14:textId="0272EE2F" w:rsidR="002507F8" w:rsidRPr="002507F8" w:rsidRDefault="00B17B0C">
            <w:pPr>
              <w:rPr>
                <w:rFonts w:ascii="Arial" w:hAnsi="Arial" w:cs="Arial"/>
                <w:sz w:val="24"/>
                <w:szCs w:val="24"/>
              </w:rPr>
            </w:pPr>
            <w:r w:rsidRPr="00B17B0C">
              <w:rPr>
                <w:rFonts w:ascii="Arial" w:hAnsi="Arial" w:cs="Arial"/>
                <w:sz w:val="24"/>
                <w:szCs w:val="24"/>
              </w:rPr>
              <w:t>Fertilizante Basacote plus 9M x 25Kgs</w:t>
            </w:r>
          </w:p>
        </w:tc>
        <w:tc>
          <w:tcPr>
            <w:tcW w:w="1361" w:type="dxa"/>
            <w:noWrap/>
            <w:hideMark/>
          </w:tcPr>
          <w:p w14:paraId="0AD4DF64" w14:textId="113167BE" w:rsidR="002507F8" w:rsidRPr="002507F8" w:rsidRDefault="00B673F9" w:rsidP="002507F8">
            <w:pPr>
              <w:jc w:val="center"/>
              <w:rPr>
                <w:rFonts w:ascii="Arial" w:hAnsi="Arial" w:cs="Arial"/>
                <w:sz w:val="24"/>
                <w:szCs w:val="24"/>
              </w:rPr>
            </w:pPr>
            <w:r>
              <w:rPr>
                <w:rFonts w:ascii="Arial" w:hAnsi="Arial" w:cs="Arial"/>
                <w:sz w:val="24"/>
                <w:szCs w:val="24"/>
              </w:rPr>
              <w:t>Unidad</w:t>
            </w:r>
          </w:p>
        </w:tc>
        <w:tc>
          <w:tcPr>
            <w:tcW w:w="1257" w:type="dxa"/>
            <w:noWrap/>
            <w:hideMark/>
          </w:tcPr>
          <w:p w14:paraId="238AB50E" w14:textId="79B675D2" w:rsidR="002507F8" w:rsidRPr="002507F8" w:rsidRDefault="00B17B0C" w:rsidP="00B17B0C">
            <w:pPr>
              <w:jc w:val="center"/>
              <w:rPr>
                <w:rFonts w:ascii="Arial" w:hAnsi="Arial" w:cs="Arial"/>
                <w:sz w:val="24"/>
                <w:szCs w:val="24"/>
              </w:rPr>
            </w:pPr>
            <w:r>
              <w:rPr>
                <w:rFonts w:ascii="Arial" w:hAnsi="Arial" w:cs="Arial"/>
                <w:sz w:val="24"/>
                <w:szCs w:val="24"/>
              </w:rPr>
              <w:t>4</w:t>
            </w:r>
          </w:p>
        </w:tc>
        <w:tc>
          <w:tcPr>
            <w:tcW w:w="1877" w:type="dxa"/>
            <w:noWrap/>
            <w:hideMark/>
          </w:tcPr>
          <w:p w14:paraId="1B50ADA0" w14:textId="77777777" w:rsidR="002507F8" w:rsidRPr="002507F8" w:rsidRDefault="002507F8" w:rsidP="002507F8">
            <w:pPr>
              <w:rPr>
                <w:rFonts w:ascii="Arial" w:hAnsi="Arial" w:cs="Arial"/>
                <w:b/>
                <w:bCs/>
                <w:sz w:val="24"/>
                <w:szCs w:val="24"/>
              </w:rPr>
            </w:pPr>
          </w:p>
        </w:tc>
        <w:tc>
          <w:tcPr>
            <w:tcW w:w="1624" w:type="dxa"/>
            <w:noWrap/>
            <w:hideMark/>
          </w:tcPr>
          <w:p w14:paraId="01218BAA" w14:textId="77777777" w:rsidR="002507F8" w:rsidRPr="002507F8" w:rsidRDefault="002507F8" w:rsidP="002507F8">
            <w:pPr>
              <w:rPr>
                <w:rFonts w:ascii="Arial" w:hAnsi="Arial" w:cs="Arial"/>
                <w:b/>
                <w:bCs/>
                <w:sz w:val="24"/>
                <w:szCs w:val="24"/>
              </w:rPr>
            </w:pPr>
          </w:p>
        </w:tc>
      </w:tr>
      <w:tr w:rsidR="002507F8" w:rsidRPr="002507F8" w14:paraId="3BACE823" w14:textId="77777777" w:rsidTr="00B17B0C">
        <w:trPr>
          <w:trHeight w:val="230"/>
        </w:trPr>
        <w:tc>
          <w:tcPr>
            <w:tcW w:w="1189" w:type="dxa"/>
            <w:noWrap/>
            <w:hideMark/>
          </w:tcPr>
          <w:p w14:paraId="7BFDD96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Total</w:t>
            </w:r>
          </w:p>
        </w:tc>
        <w:tc>
          <w:tcPr>
            <w:tcW w:w="3399" w:type="dxa"/>
            <w:noWrap/>
            <w:hideMark/>
          </w:tcPr>
          <w:p w14:paraId="548A5DCC" w14:textId="77777777" w:rsidR="002507F8" w:rsidRPr="002507F8" w:rsidRDefault="002507F8" w:rsidP="002507F8">
            <w:pPr>
              <w:rPr>
                <w:rFonts w:ascii="Arial" w:hAnsi="Arial" w:cs="Arial"/>
                <w:b/>
                <w:bCs/>
                <w:sz w:val="24"/>
                <w:szCs w:val="24"/>
              </w:rPr>
            </w:pPr>
          </w:p>
        </w:tc>
        <w:tc>
          <w:tcPr>
            <w:tcW w:w="1361" w:type="dxa"/>
            <w:noWrap/>
            <w:hideMark/>
          </w:tcPr>
          <w:p w14:paraId="5B3D2E0E" w14:textId="77777777" w:rsidR="002507F8" w:rsidRPr="002507F8" w:rsidRDefault="002507F8">
            <w:pPr>
              <w:rPr>
                <w:rFonts w:ascii="Arial" w:hAnsi="Arial" w:cs="Arial"/>
                <w:b/>
                <w:bCs/>
                <w:sz w:val="24"/>
                <w:szCs w:val="24"/>
              </w:rPr>
            </w:pPr>
          </w:p>
        </w:tc>
        <w:tc>
          <w:tcPr>
            <w:tcW w:w="1257" w:type="dxa"/>
            <w:noWrap/>
            <w:hideMark/>
          </w:tcPr>
          <w:p w14:paraId="551CABD9"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877" w:type="dxa"/>
            <w:noWrap/>
            <w:hideMark/>
          </w:tcPr>
          <w:p w14:paraId="47F978BA"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624" w:type="dxa"/>
            <w:noWrap/>
            <w:hideMark/>
          </w:tcPr>
          <w:p w14:paraId="489949B1"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r>
    </w:tbl>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El ………de………………de………..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C4D6" w14:textId="77777777" w:rsidR="009E1591" w:rsidRDefault="009E1591" w:rsidP="00D54B95">
      <w:pPr>
        <w:spacing w:after="0" w:line="240" w:lineRule="auto"/>
      </w:pPr>
      <w:r>
        <w:separator/>
      </w:r>
    </w:p>
  </w:endnote>
  <w:endnote w:type="continuationSeparator" w:id="0">
    <w:p w14:paraId="437BFD08" w14:textId="77777777" w:rsidR="009E1591" w:rsidRDefault="009E1591"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37B3" w14:textId="77777777" w:rsidR="009E1591" w:rsidRDefault="009E1591" w:rsidP="00D54B95">
      <w:pPr>
        <w:spacing w:after="0" w:line="240" w:lineRule="auto"/>
      </w:pPr>
      <w:r>
        <w:separator/>
      </w:r>
    </w:p>
  </w:footnote>
  <w:footnote w:type="continuationSeparator" w:id="0">
    <w:p w14:paraId="7E014905" w14:textId="77777777" w:rsidR="009E1591" w:rsidRDefault="009E1591"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21696967"/>
    <w:multiLevelType w:val="multilevel"/>
    <w:tmpl w:val="A7A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B21117B"/>
    <w:multiLevelType w:val="multilevel"/>
    <w:tmpl w:val="9F36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27553"/>
    <w:multiLevelType w:val="multilevel"/>
    <w:tmpl w:val="A794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0"/>
  </w:num>
  <w:num w:numId="2">
    <w:abstractNumId w:val="14"/>
  </w:num>
  <w:num w:numId="3">
    <w:abstractNumId w:val="13"/>
  </w:num>
  <w:num w:numId="4">
    <w:abstractNumId w:val="8"/>
  </w:num>
  <w:num w:numId="5">
    <w:abstractNumId w:val="5"/>
  </w:num>
  <w:num w:numId="6">
    <w:abstractNumId w:val="11"/>
  </w:num>
  <w:num w:numId="7">
    <w:abstractNumId w:val="12"/>
  </w:num>
  <w:num w:numId="8">
    <w:abstractNumId w:val="6"/>
  </w:num>
  <w:num w:numId="9">
    <w:abstractNumId w:val="7"/>
  </w:num>
  <w:num w:numId="10">
    <w:abstractNumId w:val="9"/>
  </w:num>
  <w:num w:numId="11">
    <w:abstractNumId w:val="2"/>
  </w:num>
  <w:num w:numId="12">
    <w:abstractNumId w:val="0"/>
  </w:num>
  <w:num w:numId="13">
    <w:abstractNumId w:val="4"/>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2F7362"/>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35008"/>
    <w:rsid w:val="00951517"/>
    <w:rsid w:val="00973CFA"/>
    <w:rsid w:val="00991259"/>
    <w:rsid w:val="009A05A4"/>
    <w:rsid w:val="009A1945"/>
    <w:rsid w:val="009A7C81"/>
    <w:rsid w:val="009B3918"/>
    <w:rsid w:val="009E1591"/>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17B0C"/>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64B44"/>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0D55"/>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04624034">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85041003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07455216">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4949</Words>
  <Characters>27220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18</cp:revision>
  <cp:lastPrinted>2024-02-23T11:36:00Z</cp:lastPrinted>
  <dcterms:created xsi:type="dcterms:W3CDTF">2026-04-07T16:42:00Z</dcterms:created>
  <dcterms:modified xsi:type="dcterms:W3CDTF">2026-05-04T10:57:00Z</dcterms:modified>
</cp:coreProperties>
</file>