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493E22D3"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DC5BBB">
        <w:rPr>
          <w:rFonts w:ascii="Arial" w:hAnsi="Arial" w:cs="Arial"/>
          <w:sz w:val="24"/>
          <w:szCs w:val="24"/>
          <w:lang w:val="es-MX"/>
        </w:rPr>
        <w:t>570319</w:t>
      </w:r>
    </w:p>
    <w:p w14:paraId="0C0857C4" w14:textId="0BED2EF4" w:rsidR="004A7A80" w:rsidRDefault="00FA3D52" w:rsidP="00406D64">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DC5BBB" w:rsidRPr="00DC5BBB">
        <w:rPr>
          <w:rFonts w:ascii="Arial" w:hAnsi="Arial" w:cs="Arial"/>
          <w:sz w:val="24"/>
          <w:szCs w:val="24"/>
          <w:lang w:val="es-MX"/>
        </w:rPr>
        <w:t xml:space="preserve">Adquisición de sustrato tipo </w:t>
      </w:r>
      <w:proofErr w:type="spellStart"/>
      <w:r w:rsidR="00DC5BBB" w:rsidRPr="00DC5BBB">
        <w:rPr>
          <w:rFonts w:ascii="Arial" w:hAnsi="Arial" w:cs="Arial"/>
          <w:sz w:val="24"/>
          <w:szCs w:val="24"/>
          <w:lang w:val="es-MX"/>
        </w:rPr>
        <w:t>Grow</w:t>
      </w:r>
      <w:proofErr w:type="spellEnd"/>
      <w:r w:rsidR="00DC5BBB" w:rsidRPr="00DC5BBB">
        <w:rPr>
          <w:rFonts w:ascii="Arial" w:hAnsi="Arial" w:cs="Arial"/>
          <w:sz w:val="24"/>
          <w:szCs w:val="24"/>
          <w:lang w:val="es-MX"/>
        </w:rPr>
        <w:t xml:space="preserve"> </w:t>
      </w:r>
      <w:proofErr w:type="spellStart"/>
      <w:r w:rsidR="00DC5BBB" w:rsidRPr="00DC5BBB">
        <w:rPr>
          <w:rFonts w:ascii="Arial" w:hAnsi="Arial" w:cs="Arial"/>
          <w:sz w:val="24"/>
          <w:szCs w:val="24"/>
          <w:lang w:val="es-MX"/>
        </w:rPr>
        <w:t>Mix</w:t>
      </w:r>
      <w:proofErr w:type="spellEnd"/>
      <w:r w:rsidR="00DC5BBB" w:rsidRPr="00DC5BBB">
        <w:rPr>
          <w:rFonts w:ascii="Arial" w:hAnsi="Arial" w:cs="Arial"/>
          <w:sz w:val="24"/>
          <w:szCs w:val="24"/>
          <w:lang w:val="es-MX"/>
        </w:rPr>
        <w:t xml:space="preserve"> </w:t>
      </w:r>
      <w:proofErr w:type="spellStart"/>
      <w:r w:rsidR="00DC5BBB" w:rsidRPr="00DC5BBB">
        <w:rPr>
          <w:rFonts w:ascii="Arial" w:hAnsi="Arial" w:cs="Arial"/>
          <w:sz w:val="24"/>
          <w:szCs w:val="24"/>
          <w:lang w:val="es-MX"/>
        </w:rPr>
        <w:t>Multipro</w:t>
      </w:r>
      <w:proofErr w:type="spellEnd"/>
      <w:r w:rsidR="00DC5BBB" w:rsidRPr="00DC5BBB">
        <w:rPr>
          <w:rFonts w:ascii="Arial" w:hAnsi="Arial" w:cs="Arial"/>
          <w:sz w:val="24"/>
          <w:szCs w:val="24"/>
          <w:lang w:val="es-MX"/>
        </w:rPr>
        <w:t>, en bolsas de 80 litros, destinado al Vivero Forestal Municipal de San Ramón de la Nueva Orán, para la producción de plantines correspondiente al período 2026–2027</w:t>
      </w:r>
      <w:r w:rsidR="00DC5BBB">
        <w:rPr>
          <w:rFonts w:ascii="Arial" w:hAnsi="Arial" w:cs="Arial"/>
          <w:sz w:val="24"/>
          <w:szCs w:val="24"/>
          <w:lang w:val="es-MX"/>
        </w:rPr>
        <w:t>.</w:t>
      </w:r>
    </w:p>
    <w:p w14:paraId="0CA44925" w14:textId="77777777" w:rsidR="004A7A80" w:rsidRPr="00C3715E" w:rsidRDefault="004A7A80" w:rsidP="00406D64">
      <w:pPr>
        <w:spacing w:line="360" w:lineRule="auto"/>
        <w:jc w:val="both"/>
        <w:rPr>
          <w:rFonts w:ascii="Arial" w:hAnsi="Arial" w:cs="Arial"/>
          <w:sz w:val="24"/>
          <w:szCs w:val="24"/>
          <w:lang w:val="es-419"/>
        </w:rPr>
      </w:pPr>
    </w:p>
    <w:bookmarkEnd w:id="0"/>
    <w:p w14:paraId="17EE21AB" w14:textId="390A438C"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DC5BBB">
        <w:rPr>
          <w:rFonts w:ascii="Arial" w:hAnsi="Arial" w:cs="Arial"/>
          <w:sz w:val="24"/>
          <w:szCs w:val="24"/>
          <w:lang w:val="es-MX"/>
        </w:rPr>
        <w:t>06</w:t>
      </w:r>
      <w:r w:rsidR="00E43BD1" w:rsidRPr="00E43BD1">
        <w:rPr>
          <w:rFonts w:ascii="Arial" w:hAnsi="Arial" w:cs="Arial"/>
          <w:sz w:val="24"/>
          <w:szCs w:val="24"/>
        </w:rPr>
        <w:t xml:space="preserve"> de </w:t>
      </w:r>
      <w:r w:rsidR="00DC5BBB">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6A5EA949"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DC5BBB">
        <w:rPr>
          <w:rFonts w:ascii="Arial" w:hAnsi="Arial" w:cs="Arial"/>
          <w:sz w:val="24"/>
          <w:szCs w:val="24"/>
          <w:lang w:val="es-419"/>
        </w:rPr>
        <w:t>06</w:t>
      </w:r>
      <w:r w:rsidRPr="00A066CE">
        <w:rPr>
          <w:rFonts w:ascii="Arial" w:hAnsi="Arial" w:cs="Arial"/>
          <w:sz w:val="24"/>
          <w:szCs w:val="24"/>
          <w:lang w:val="es-419"/>
        </w:rPr>
        <w:t>/0</w:t>
      </w:r>
      <w:r w:rsidR="00DC5BBB">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01C7AA9E"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de </w:t>
      </w:r>
      <w:r w:rsidR="00DC5BBB" w:rsidRPr="00DC5BBB">
        <w:rPr>
          <w:rFonts w:ascii="Arial" w:hAnsi="Arial" w:cs="Arial"/>
          <w:b/>
          <w:bCs/>
          <w:sz w:val="24"/>
          <w:szCs w:val="24"/>
        </w:rPr>
        <w:t xml:space="preserve">336 (trescientas treinta y seis) bolsas de sustrato tipo </w:t>
      </w:r>
      <w:proofErr w:type="spellStart"/>
      <w:r w:rsidR="00DC5BBB" w:rsidRPr="00DC5BBB">
        <w:rPr>
          <w:rFonts w:ascii="Arial" w:hAnsi="Arial" w:cs="Arial"/>
          <w:b/>
          <w:bCs/>
          <w:sz w:val="24"/>
          <w:szCs w:val="24"/>
        </w:rPr>
        <w:t>Grow</w:t>
      </w:r>
      <w:proofErr w:type="spellEnd"/>
      <w:r w:rsidR="00DC5BBB" w:rsidRPr="00DC5BBB">
        <w:rPr>
          <w:rFonts w:ascii="Arial" w:hAnsi="Arial" w:cs="Arial"/>
          <w:b/>
          <w:bCs/>
          <w:sz w:val="24"/>
          <w:szCs w:val="24"/>
        </w:rPr>
        <w:t xml:space="preserve"> </w:t>
      </w:r>
      <w:proofErr w:type="spellStart"/>
      <w:r w:rsidR="00DC5BBB" w:rsidRPr="00DC5BBB">
        <w:rPr>
          <w:rFonts w:ascii="Arial" w:hAnsi="Arial" w:cs="Arial"/>
          <w:b/>
          <w:bCs/>
          <w:sz w:val="24"/>
          <w:szCs w:val="24"/>
        </w:rPr>
        <w:t>Mix</w:t>
      </w:r>
      <w:proofErr w:type="spellEnd"/>
      <w:r w:rsidR="00DC5BBB" w:rsidRPr="00DC5BBB">
        <w:rPr>
          <w:rFonts w:ascii="Arial" w:hAnsi="Arial" w:cs="Arial"/>
          <w:b/>
          <w:bCs/>
          <w:sz w:val="24"/>
          <w:szCs w:val="24"/>
        </w:rPr>
        <w:t xml:space="preserve"> </w:t>
      </w:r>
      <w:proofErr w:type="spellStart"/>
      <w:r w:rsidR="00DC5BBB" w:rsidRPr="00DC5BBB">
        <w:rPr>
          <w:rFonts w:ascii="Arial" w:hAnsi="Arial" w:cs="Arial"/>
          <w:b/>
          <w:bCs/>
          <w:sz w:val="24"/>
          <w:szCs w:val="24"/>
        </w:rPr>
        <w:t>Multipro</w:t>
      </w:r>
      <w:proofErr w:type="spellEnd"/>
      <w:r w:rsidR="00DC5BBB" w:rsidRPr="00DC5BBB">
        <w:rPr>
          <w:rFonts w:ascii="Arial" w:hAnsi="Arial" w:cs="Arial"/>
          <w:b/>
          <w:bCs/>
          <w:sz w:val="24"/>
          <w:szCs w:val="24"/>
        </w:rPr>
        <w:t xml:space="preserve"> de 80 litros cada una</w:t>
      </w:r>
      <w:r w:rsidR="00DC5BBB" w:rsidRPr="00DC5BBB">
        <w:rPr>
          <w:rFonts w:ascii="Arial" w:hAnsi="Arial" w:cs="Arial"/>
          <w:sz w:val="24"/>
          <w:szCs w:val="24"/>
        </w:rPr>
        <w:t>, destinadas al Vivero Forestal Municipal, para su utilización en la producción de plantines de especies forestales en el marco de la campaña 2026–2027</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546FC2EA" w14:textId="77777777" w:rsidR="005C14A3" w:rsidRDefault="005C14A3" w:rsidP="00A73838">
      <w:pPr>
        <w:spacing w:line="360" w:lineRule="auto"/>
        <w:jc w:val="center"/>
        <w:rPr>
          <w:rFonts w:ascii="Arial" w:hAnsi="Arial" w:cs="Arial"/>
          <w:b/>
          <w:bCs/>
          <w:sz w:val="28"/>
          <w:szCs w:val="28"/>
          <w:u w:val="single"/>
          <w:lang w:val="es-MX"/>
        </w:rPr>
      </w:pPr>
    </w:p>
    <w:p w14:paraId="27E560FE" w14:textId="77777777" w:rsidR="005C14A3" w:rsidRDefault="005C14A3" w:rsidP="00A73838">
      <w:pPr>
        <w:spacing w:line="360" w:lineRule="auto"/>
        <w:jc w:val="center"/>
        <w:rPr>
          <w:rFonts w:ascii="Arial" w:hAnsi="Arial" w:cs="Arial"/>
          <w:b/>
          <w:bCs/>
          <w:sz w:val="28"/>
          <w:szCs w:val="28"/>
          <w:u w:val="single"/>
          <w:lang w:val="es-MX"/>
        </w:rPr>
      </w:pPr>
    </w:p>
    <w:p w14:paraId="34858B0D" w14:textId="6F25698D"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r w:rsidR="00DC5BBB">
        <w:rPr>
          <w:rFonts w:ascii="Arial" w:hAnsi="Arial" w:cs="Arial"/>
          <w:b/>
          <w:bCs/>
          <w:sz w:val="28"/>
          <w:szCs w:val="28"/>
          <w:u w:val="single"/>
          <w:lang w:val="es-MX"/>
        </w:rPr>
        <w:t xml:space="preserve"> </w:t>
      </w:r>
    </w:p>
    <w:p w14:paraId="7DD69E61"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El sustrato ofertado deberá cumplir con las siguientes características mínimas:</w:t>
      </w:r>
    </w:p>
    <w:p w14:paraId="2D86E900"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1. Tipo:</w:t>
      </w:r>
    </w:p>
    <w:p w14:paraId="2BA55EEC" w14:textId="77777777" w:rsidR="00DC5BBB" w:rsidRPr="00DC5BBB" w:rsidRDefault="00DC5BBB" w:rsidP="00DC5BBB">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Sustrato profesional para vivero, apto para producción de plantines forestales. </w:t>
      </w:r>
    </w:p>
    <w:p w14:paraId="023746E0" w14:textId="77777777" w:rsidR="00DC5BBB" w:rsidRPr="00DC5BBB" w:rsidRDefault="00DC5BBB" w:rsidP="00DC5BBB">
      <w:pPr>
        <w:numPr>
          <w:ilvl w:val="0"/>
          <w:numId w:val="13"/>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Tipo </w:t>
      </w:r>
      <w:proofErr w:type="spellStart"/>
      <w:r w:rsidRPr="00DC5BBB">
        <w:rPr>
          <w:rFonts w:ascii="Arial" w:eastAsia="Times New Roman" w:hAnsi="Arial" w:cs="Arial"/>
          <w:b/>
          <w:bCs/>
          <w:sz w:val="24"/>
          <w:szCs w:val="24"/>
          <w:lang w:val="es-419" w:eastAsia="es-419"/>
        </w:rPr>
        <w:t>Grow</w:t>
      </w:r>
      <w:proofErr w:type="spellEnd"/>
      <w:r w:rsidRPr="00DC5BBB">
        <w:rPr>
          <w:rFonts w:ascii="Arial" w:eastAsia="Times New Roman" w:hAnsi="Arial" w:cs="Arial"/>
          <w:b/>
          <w:bCs/>
          <w:sz w:val="24"/>
          <w:szCs w:val="24"/>
          <w:lang w:val="es-419" w:eastAsia="es-419"/>
        </w:rPr>
        <w:t xml:space="preserve"> </w:t>
      </w:r>
      <w:proofErr w:type="spellStart"/>
      <w:r w:rsidRPr="00DC5BBB">
        <w:rPr>
          <w:rFonts w:ascii="Arial" w:eastAsia="Times New Roman" w:hAnsi="Arial" w:cs="Arial"/>
          <w:b/>
          <w:bCs/>
          <w:sz w:val="24"/>
          <w:szCs w:val="24"/>
          <w:lang w:val="es-419" w:eastAsia="es-419"/>
        </w:rPr>
        <w:t>Mix</w:t>
      </w:r>
      <w:proofErr w:type="spellEnd"/>
      <w:r w:rsidRPr="00DC5BBB">
        <w:rPr>
          <w:rFonts w:ascii="Arial" w:eastAsia="Times New Roman" w:hAnsi="Arial" w:cs="Arial"/>
          <w:b/>
          <w:bCs/>
          <w:sz w:val="24"/>
          <w:szCs w:val="24"/>
          <w:lang w:val="es-419" w:eastAsia="es-419"/>
        </w:rPr>
        <w:t xml:space="preserve"> </w:t>
      </w:r>
      <w:proofErr w:type="spellStart"/>
      <w:r w:rsidRPr="00DC5BBB">
        <w:rPr>
          <w:rFonts w:ascii="Arial" w:eastAsia="Times New Roman" w:hAnsi="Arial" w:cs="Arial"/>
          <w:b/>
          <w:bCs/>
          <w:sz w:val="24"/>
          <w:szCs w:val="24"/>
          <w:lang w:val="es-419" w:eastAsia="es-419"/>
        </w:rPr>
        <w:t>Multipro</w:t>
      </w:r>
      <w:proofErr w:type="spellEnd"/>
      <w:r w:rsidRPr="00DC5BBB">
        <w:rPr>
          <w:rFonts w:ascii="Arial" w:eastAsia="Times New Roman" w:hAnsi="Arial" w:cs="Arial"/>
          <w:b/>
          <w:bCs/>
          <w:sz w:val="24"/>
          <w:szCs w:val="24"/>
          <w:lang w:val="es-419" w:eastAsia="es-419"/>
        </w:rPr>
        <w:t xml:space="preserve"> o equivalente de calidad similar o superior</w:t>
      </w:r>
      <w:r w:rsidRPr="00DC5BBB">
        <w:rPr>
          <w:rFonts w:ascii="Arial" w:eastAsia="Times New Roman" w:hAnsi="Arial" w:cs="Arial"/>
          <w:sz w:val="24"/>
          <w:szCs w:val="24"/>
          <w:lang w:val="es-419" w:eastAsia="es-419"/>
        </w:rPr>
        <w:t xml:space="preserve">. </w:t>
      </w:r>
    </w:p>
    <w:p w14:paraId="1DA6A943"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2. Presentación:</w:t>
      </w:r>
    </w:p>
    <w:p w14:paraId="1DB8376D" w14:textId="77777777" w:rsidR="00DC5BBB" w:rsidRPr="00DC5BBB" w:rsidRDefault="00DC5BBB" w:rsidP="00DC5BBB">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Bolsas de </w:t>
      </w:r>
      <w:r w:rsidRPr="00DC5BBB">
        <w:rPr>
          <w:rFonts w:ascii="Arial" w:eastAsia="Times New Roman" w:hAnsi="Arial" w:cs="Arial"/>
          <w:b/>
          <w:bCs/>
          <w:sz w:val="24"/>
          <w:szCs w:val="24"/>
          <w:lang w:val="es-419" w:eastAsia="es-419"/>
        </w:rPr>
        <w:t>80 litros</w:t>
      </w:r>
      <w:r w:rsidRPr="00DC5BBB">
        <w:rPr>
          <w:rFonts w:ascii="Arial" w:eastAsia="Times New Roman" w:hAnsi="Arial" w:cs="Arial"/>
          <w:sz w:val="24"/>
          <w:szCs w:val="24"/>
          <w:lang w:val="es-419" w:eastAsia="es-419"/>
        </w:rPr>
        <w:t xml:space="preserve">. </w:t>
      </w:r>
    </w:p>
    <w:p w14:paraId="3F331109" w14:textId="77777777" w:rsidR="00DC5BBB" w:rsidRPr="00DC5BBB" w:rsidRDefault="00DC5BBB" w:rsidP="00DC5BBB">
      <w:pPr>
        <w:numPr>
          <w:ilvl w:val="0"/>
          <w:numId w:val="14"/>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Envases cerrados de fábrica, sin roturas ni pérdidas de material. </w:t>
      </w:r>
    </w:p>
    <w:p w14:paraId="25216834"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3. Composición:</w:t>
      </w:r>
    </w:p>
    <w:p w14:paraId="0DA755E1" w14:textId="77777777" w:rsidR="00DC5BBB" w:rsidRPr="00DC5BBB" w:rsidRDefault="00DC5BBB" w:rsidP="00DC5BBB">
      <w:pPr>
        <w:numPr>
          <w:ilvl w:val="0"/>
          <w:numId w:val="15"/>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Mezcla a base de turba (</w:t>
      </w:r>
      <w:proofErr w:type="spellStart"/>
      <w:r w:rsidRPr="00DC5BBB">
        <w:rPr>
          <w:rFonts w:ascii="Arial" w:eastAsia="Times New Roman" w:hAnsi="Arial" w:cs="Arial"/>
          <w:sz w:val="24"/>
          <w:szCs w:val="24"/>
          <w:lang w:val="es-419" w:eastAsia="es-419"/>
        </w:rPr>
        <w:t>sphagnum</w:t>
      </w:r>
      <w:proofErr w:type="spellEnd"/>
      <w:r w:rsidRPr="00DC5BBB">
        <w:rPr>
          <w:rFonts w:ascii="Arial" w:eastAsia="Times New Roman" w:hAnsi="Arial" w:cs="Arial"/>
          <w:sz w:val="24"/>
          <w:szCs w:val="24"/>
          <w:lang w:val="es-419" w:eastAsia="es-419"/>
        </w:rPr>
        <w:t xml:space="preserve">), perlita y/u otros componentes orgánicos estabilizados. </w:t>
      </w:r>
    </w:p>
    <w:p w14:paraId="67965B0C" w14:textId="77777777" w:rsidR="00DC5BBB" w:rsidRPr="00DC5BBB" w:rsidRDefault="00DC5BBB" w:rsidP="00DC5BBB">
      <w:pPr>
        <w:numPr>
          <w:ilvl w:val="0"/>
          <w:numId w:val="15"/>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Libre de contaminantes, residuos, semillas de malezas o patógenos. </w:t>
      </w:r>
    </w:p>
    <w:p w14:paraId="0E2FD20D"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4. Propiedades físicas:</w:t>
      </w:r>
    </w:p>
    <w:p w14:paraId="5B99E568" w14:textId="77777777" w:rsidR="00DC5BBB" w:rsidRPr="00DC5BBB" w:rsidRDefault="00DC5BBB" w:rsidP="00DC5BBB">
      <w:pPr>
        <w:numPr>
          <w:ilvl w:val="0"/>
          <w:numId w:val="16"/>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Buena capacidad de retención de humedad. </w:t>
      </w:r>
    </w:p>
    <w:p w14:paraId="3A02B8D3" w14:textId="77777777" w:rsidR="00DC5BBB" w:rsidRPr="00DC5BBB" w:rsidRDefault="00DC5BBB" w:rsidP="00DC5BBB">
      <w:pPr>
        <w:numPr>
          <w:ilvl w:val="0"/>
          <w:numId w:val="16"/>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Adecuada aireación y drenaje. </w:t>
      </w:r>
    </w:p>
    <w:p w14:paraId="15793BAA" w14:textId="77777777" w:rsidR="00DC5BBB" w:rsidRPr="00DC5BBB" w:rsidRDefault="00DC5BBB" w:rsidP="00DC5BBB">
      <w:pPr>
        <w:numPr>
          <w:ilvl w:val="0"/>
          <w:numId w:val="16"/>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Textura homogénea y liviana. </w:t>
      </w:r>
    </w:p>
    <w:p w14:paraId="66F2A765"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5. Propiedades químicas:</w:t>
      </w:r>
    </w:p>
    <w:p w14:paraId="060CC834" w14:textId="77777777" w:rsidR="00DC5BBB" w:rsidRPr="00DC5BBB" w:rsidRDefault="00DC5BBB" w:rsidP="00DC5BBB">
      <w:pPr>
        <w:numPr>
          <w:ilvl w:val="0"/>
          <w:numId w:val="17"/>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pH aproximado: </w:t>
      </w:r>
      <w:r w:rsidRPr="00DC5BBB">
        <w:rPr>
          <w:rFonts w:ascii="Arial" w:eastAsia="Times New Roman" w:hAnsi="Arial" w:cs="Arial"/>
          <w:b/>
          <w:bCs/>
          <w:sz w:val="24"/>
          <w:szCs w:val="24"/>
          <w:lang w:val="es-419" w:eastAsia="es-419"/>
        </w:rPr>
        <w:t>5,5 a 6,5</w:t>
      </w:r>
      <w:r w:rsidRPr="00DC5BBB">
        <w:rPr>
          <w:rFonts w:ascii="Arial" w:eastAsia="Times New Roman" w:hAnsi="Arial" w:cs="Arial"/>
          <w:sz w:val="24"/>
          <w:szCs w:val="24"/>
          <w:lang w:val="es-419" w:eastAsia="es-419"/>
        </w:rPr>
        <w:t xml:space="preserve">. </w:t>
      </w:r>
    </w:p>
    <w:p w14:paraId="336925B1" w14:textId="77777777" w:rsidR="00DC5BBB" w:rsidRPr="00DC5BBB" w:rsidRDefault="00DC5BBB" w:rsidP="00DC5BBB">
      <w:pPr>
        <w:numPr>
          <w:ilvl w:val="0"/>
          <w:numId w:val="17"/>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Conductividad eléctrica (CE): dentro de rangos aptos para producción de plantines (baja salinidad). </w:t>
      </w:r>
    </w:p>
    <w:p w14:paraId="63D7D6FB"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6. Condiciones sanitarias:</w:t>
      </w:r>
    </w:p>
    <w:p w14:paraId="6A5F59A9" w14:textId="77777777" w:rsidR="00DC5BBB" w:rsidRPr="00DC5BBB" w:rsidRDefault="00DC5BBB" w:rsidP="00DC5BBB">
      <w:pPr>
        <w:numPr>
          <w:ilvl w:val="0"/>
          <w:numId w:val="18"/>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Producto libre de plagas y enfermedades. </w:t>
      </w:r>
    </w:p>
    <w:p w14:paraId="66FF999C" w14:textId="77777777" w:rsidR="00DC5BBB" w:rsidRPr="00DC5BBB" w:rsidRDefault="00DC5BBB" w:rsidP="00DC5BBB">
      <w:pPr>
        <w:numPr>
          <w:ilvl w:val="0"/>
          <w:numId w:val="18"/>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Preferentemente esterilizado o tratado. </w:t>
      </w:r>
    </w:p>
    <w:p w14:paraId="76B4E11E"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7. Aptitud de uso:</w:t>
      </w:r>
    </w:p>
    <w:p w14:paraId="142D27E0" w14:textId="77777777" w:rsidR="00DC5BBB" w:rsidRPr="00DC5BBB" w:rsidRDefault="00DC5BBB" w:rsidP="00DC5BBB">
      <w:pPr>
        <w:numPr>
          <w:ilvl w:val="0"/>
          <w:numId w:val="19"/>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Apto para siembra y repique de especies forestales. </w:t>
      </w:r>
    </w:p>
    <w:p w14:paraId="235F661D" w14:textId="77777777" w:rsidR="00DC5BBB" w:rsidRPr="00DC5BBB" w:rsidRDefault="00DC5BBB" w:rsidP="00DC5BBB">
      <w:pPr>
        <w:numPr>
          <w:ilvl w:val="0"/>
          <w:numId w:val="19"/>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 xml:space="preserve">Debe garantizar condiciones óptimas para el desarrollo radicular. </w:t>
      </w:r>
    </w:p>
    <w:p w14:paraId="1DDD20AF" w14:textId="77777777" w:rsidR="00DC5BBB" w:rsidRPr="00DC5BBB" w:rsidRDefault="00DC5BBB" w:rsidP="00DC5BBB">
      <w:p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b/>
          <w:bCs/>
          <w:sz w:val="24"/>
          <w:szCs w:val="24"/>
          <w:lang w:val="es-419" w:eastAsia="es-419"/>
        </w:rPr>
        <w:t>8. Identificación:</w:t>
      </w:r>
    </w:p>
    <w:p w14:paraId="473B8B40" w14:textId="77777777" w:rsidR="00DC5BBB" w:rsidRPr="00DC5BBB" w:rsidRDefault="00DC5BBB" w:rsidP="00DC5BBB">
      <w:pPr>
        <w:numPr>
          <w:ilvl w:val="0"/>
          <w:numId w:val="20"/>
        </w:numPr>
        <w:spacing w:before="100" w:beforeAutospacing="1" w:after="100" w:afterAutospacing="1" w:line="240" w:lineRule="auto"/>
        <w:rPr>
          <w:rFonts w:ascii="Arial" w:eastAsia="Times New Roman" w:hAnsi="Arial" w:cs="Arial"/>
          <w:sz w:val="24"/>
          <w:szCs w:val="24"/>
          <w:lang w:val="es-419" w:eastAsia="es-419"/>
        </w:rPr>
      </w:pPr>
      <w:r w:rsidRPr="00DC5BBB">
        <w:rPr>
          <w:rFonts w:ascii="Arial" w:eastAsia="Times New Roman" w:hAnsi="Arial" w:cs="Arial"/>
          <w:sz w:val="24"/>
          <w:szCs w:val="24"/>
          <w:lang w:val="es-419" w:eastAsia="es-419"/>
        </w:rPr>
        <w:t>Cada bolsa deberá indicar marca, composición y volumen.</w:t>
      </w:r>
    </w:p>
    <w:p w14:paraId="6E9E1A7D" w14:textId="0BF27B03" w:rsidR="00DC5BBB" w:rsidRDefault="00DC5BBB">
      <w:pPr>
        <w:rPr>
          <w:rFonts w:ascii="Arial" w:hAnsi="Arial" w:cs="Arial"/>
          <w:b/>
          <w:bCs/>
          <w:sz w:val="24"/>
          <w:szCs w:val="24"/>
          <w:u w:val="single"/>
        </w:rPr>
      </w:pPr>
    </w:p>
    <w:p w14:paraId="229CAA69" w14:textId="629DE689" w:rsidR="00DC5BBB" w:rsidRDefault="005E4B2C">
      <w:pPr>
        <w:rPr>
          <w:rFonts w:ascii="Arial" w:hAnsi="Arial" w:cs="Arial"/>
          <w:b/>
          <w:bCs/>
          <w:sz w:val="24"/>
          <w:szCs w:val="24"/>
          <w:u w:val="single"/>
        </w:rPr>
      </w:pPr>
      <w:r w:rsidRPr="005E4B2C">
        <w:rPr>
          <w:rFonts w:ascii="Arial" w:hAnsi="Arial" w:cs="Arial"/>
          <w:b/>
          <w:bCs/>
          <w:sz w:val="24"/>
          <w:szCs w:val="24"/>
        </w:rPr>
        <w:t>Se aceptarán productos equivalentes, debiendo el oferente acreditar mediante ficha técnica que el sustrato cumple con las características solicitadas.</w:t>
      </w:r>
    </w:p>
    <w:p w14:paraId="3D4DB6F6" w14:textId="426B1F4D"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356B657B" w14:textId="14ADE4D1" w:rsidR="002507F8" w:rsidRDefault="00DB5EE8">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2507F8">
        <w:rPr>
          <w:rFonts w:ascii="Arial" w:hAnsi="Arial" w:cs="Arial"/>
          <w:b/>
          <w:bCs/>
          <w:sz w:val="24"/>
          <w:szCs w:val="24"/>
          <w:u w:val="single"/>
          <w:lang w:val="es-MX"/>
        </w:rPr>
        <w:fldChar w:fldCharType="separate"/>
      </w:r>
    </w:p>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DC5BBB">
            <w:pPr>
              <w:jc w:val="cente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DC5BBB" w:rsidRDefault="002507F8" w:rsidP="00DC5BBB">
            <w:pPr>
              <w:jc w:val="center"/>
              <w:rPr>
                <w:rFonts w:ascii="Arial" w:hAnsi="Arial" w:cs="Arial"/>
                <w:sz w:val="24"/>
                <w:szCs w:val="24"/>
              </w:rPr>
            </w:pPr>
            <w:r w:rsidRPr="00DC5BBB">
              <w:rPr>
                <w:rFonts w:ascii="Arial" w:hAnsi="Arial" w:cs="Arial"/>
                <w:sz w:val="24"/>
                <w:szCs w:val="24"/>
              </w:rPr>
              <w:t>Detalles</w:t>
            </w:r>
          </w:p>
        </w:tc>
        <w:tc>
          <w:tcPr>
            <w:tcW w:w="1634" w:type="dxa"/>
            <w:noWrap/>
            <w:hideMark/>
          </w:tcPr>
          <w:p w14:paraId="60B9E043" w14:textId="77777777" w:rsidR="002507F8" w:rsidRPr="002507F8" w:rsidRDefault="002507F8" w:rsidP="00DC5BBB">
            <w:pPr>
              <w:jc w:val="cente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DC5BBB">
            <w:pPr>
              <w:jc w:val="cente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DC5BBB">
            <w:pPr>
              <w:jc w:val="cente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DC5BBB">
            <w:pPr>
              <w:jc w:val="cente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5C14A3">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tcPr>
          <w:p w14:paraId="786257EC" w14:textId="1F9E8CD6" w:rsidR="002507F8" w:rsidRPr="00DC5BBB" w:rsidRDefault="00DC5BBB">
            <w:pPr>
              <w:rPr>
                <w:rFonts w:ascii="Arial" w:hAnsi="Arial" w:cs="Arial"/>
                <w:sz w:val="24"/>
                <w:szCs w:val="24"/>
              </w:rPr>
            </w:pPr>
            <w:r>
              <w:rPr>
                <w:rFonts w:ascii="Arial" w:hAnsi="Arial" w:cs="Arial"/>
                <w:sz w:val="24"/>
                <w:szCs w:val="24"/>
              </w:rPr>
              <w:t>S</w:t>
            </w:r>
            <w:r w:rsidRPr="00DC5BBB">
              <w:rPr>
                <w:rFonts w:ascii="Arial" w:hAnsi="Arial" w:cs="Arial"/>
                <w:sz w:val="24"/>
                <w:szCs w:val="24"/>
              </w:rPr>
              <w:t xml:space="preserve">ustrato tipo </w:t>
            </w:r>
            <w:proofErr w:type="spellStart"/>
            <w:r w:rsidRPr="00DC5BBB">
              <w:rPr>
                <w:rFonts w:ascii="Arial" w:hAnsi="Arial" w:cs="Arial"/>
                <w:sz w:val="24"/>
                <w:szCs w:val="24"/>
              </w:rPr>
              <w:t>Grow</w:t>
            </w:r>
            <w:proofErr w:type="spellEnd"/>
            <w:r w:rsidRPr="00DC5BBB">
              <w:rPr>
                <w:rFonts w:ascii="Arial" w:hAnsi="Arial" w:cs="Arial"/>
                <w:sz w:val="24"/>
                <w:szCs w:val="24"/>
              </w:rPr>
              <w:t xml:space="preserve"> </w:t>
            </w:r>
            <w:proofErr w:type="spellStart"/>
            <w:r w:rsidRPr="00DC5BBB">
              <w:rPr>
                <w:rFonts w:ascii="Arial" w:hAnsi="Arial" w:cs="Arial"/>
                <w:sz w:val="24"/>
                <w:szCs w:val="24"/>
              </w:rPr>
              <w:t>Mix</w:t>
            </w:r>
            <w:proofErr w:type="spellEnd"/>
            <w:r w:rsidRPr="00DC5BBB">
              <w:rPr>
                <w:rFonts w:ascii="Arial" w:hAnsi="Arial" w:cs="Arial"/>
                <w:sz w:val="24"/>
                <w:szCs w:val="24"/>
              </w:rPr>
              <w:t xml:space="preserve"> </w:t>
            </w:r>
            <w:proofErr w:type="spellStart"/>
            <w:r w:rsidRPr="00DC5BBB">
              <w:rPr>
                <w:rFonts w:ascii="Arial" w:hAnsi="Arial" w:cs="Arial"/>
                <w:sz w:val="24"/>
                <w:szCs w:val="24"/>
              </w:rPr>
              <w:t>Multipro</w:t>
            </w:r>
            <w:proofErr w:type="spellEnd"/>
            <w:r w:rsidRPr="00DC5BBB">
              <w:rPr>
                <w:rFonts w:ascii="Arial" w:hAnsi="Arial" w:cs="Arial"/>
                <w:sz w:val="24"/>
                <w:szCs w:val="24"/>
              </w:rPr>
              <w:t xml:space="preserve"> de 80 litros</w:t>
            </w:r>
          </w:p>
        </w:tc>
        <w:tc>
          <w:tcPr>
            <w:tcW w:w="1634" w:type="dxa"/>
            <w:noWrap/>
            <w:hideMark/>
          </w:tcPr>
          <w:p w14:paraId="6FD3FCC1" w14:textId="19DC3B69" w:rsidR="002507F8" w:rsidRPr="002507F8" w:rsidRDefault="00B673F9" w:rsidP="00DC5BBB">
            <w:pPr>
              <w:jc w:val="center"/>
              <w:rPr>
                <w:rFonts w:ascii="Arial" w:hAnsi="Arial" w:cs="Arial"/>
                <w:sz w:val="24"/>
                <w:szCs w:val="24"/>
              </w:rPr>
            </w:pPr>
            <w:r>
              <w:rPr>
                <w:rFonts w:ascii="Arial" w:hAnsi="Arial" w:cs="Arial"/>
                <w:sz w:val="24"/>
                <w:szCs w:val="24"/>
              </w:rPr>
              <w:t>Unidad</w:t>
            </w:r>
          </w:p>
        </w:tc>
        <w:tc>
          <w:tcPr>
            <w:tcW w:w="1257" w:type="dxa"/>
            <w:noWrap/>
            <w:hideMark/>
          </w:tcPr>
          <w:p w14:paraId="32947A6A" w14:textId="729C1103" w:rsidR="002507F8" w:rsidRPr="002507F8" w:rsidRDefault="00DC5BBB" w:rsidP="00DC5BBB">
            <w:pPr>
              <w:jc w:val="center"/>
              <w:rPr>
                <w:rFonts w:ascii="Arial" w:hAnsi="Arial" w:cs="Arial"/>
                <w:sz w:val="24"/>
                <w:szCs w:val="24"/>
              </w:rPr>
            </w:pPr>
            <w:r>
              <w:rPr>
                <w:rFonts w:ascii="Arial" w:hAnsi="Arial" w:cs="Arial"/>
                <w:sz w:val="24"/>
                <w:szCs w:val="24"/>
              </w:rPr>
              <w:t>336</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r w:rsidR="002507F8" w:rsidRPr="002507F8" w14:paraId="3BACE823" w14:textId="77777777" w:rsidTr="002507F8">
        <w:trPr>
          <w:trHeight w:val="230"/>
        </w:trPr>
        <w:tc>
          <w:tcPr>
            <w:tcW w:w="1189" w:type="dxa"/>
            <w:noWrap/>
            <w:hideMark/>
          </w:tcPr>
          <w:p w14:paraId="7BFDD96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Total</w:t>
            </w:r>
          </w:p>
        </w:tc>
        <w:tc>
          <w:tcPr>
            <w:tcW w:w="3126" w:type="dxa"/>
            <w:noWrap/>
            <w:hideMark/>
          </w:tcPr>
          <w:p w14:paraId="548A5DCC" w14:textId="77777777" w:rsidR="002507F8" w:rsidRPr="002507F8" w:rsidRDefault="002507F8" w:rsidP="002507F8">
            <w:pPr>
              <w:rPr>
                <w:rFonts w:ascii="Arial" w:hAnsi="Arial" w:cs="Arial"/>
                <w:b/>
                <w:bCs/>
                <w:sz w:val="24"/>
                <w:szCs w:val="24"/>
              </w:rPr>
            </w:pPr>
          </w:p>
        </w:tc>
        <w:tc>
          <w:tcPr>
            <w:tcW w:w="1634" w:type="dxa"/>
            <w:noWrap/>
            <w:hideMark/>
          </w:tcPr>
          <w:p w14:paraId="5B3D2E0E" w14:textId="77777777" w:rsidR="002507F8" w:rsidRPr="002507F8" w:rsidRDefault="002507F8">
            <w:pPr>
              <w:rPr>
                <w:rFonts w:ascii="Arial" w:hAnsi="Arial" w:cs="Arial"/>
                <w:b/>
                <w:bCs/>
                <w:sz w:val="24"/>
                <w:szCs w:val="24"/>
              </w:rPr>
            </w:pPr>
          </w:p>
        </w:tc>
        <w:tc>
          <w:tcPr>
            <w:tcW w:w="1257" w:type="dxa"/>
            <w:noWrap/>
            <w:hideMark/>
          </w:tcPr>
          <w:p w14:paraId="551CABD9"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877" w:type="dxa"/>
            <w:noWrap/>
            <w:hideMark/>
          </w:tcPr>
          <w:p w14:paraId="47F978BA"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c>
          <w:tcPr>
            <w:tcW w:w="1624" w:type="dxa"/>
            <w:noWrap/>
            <w:hideMark/>
          </w:tcPr>
          <w:p w14:paraId="489949B1"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 </w:t>
            </w:r>
          </w:p>
        </w:tc>
      </w:tr>
    </w:tbl>
    <w:p w14:paraId="62CDD75C" w14:textId="77777777" w:rsidR="005B59AC" w:rsidRDefault="002507F8">
      <w:pPr>
        <w:rPr>
          <w:rFonts w:ascii="Arial" w:hAnsi="Arial" w:cs="Arial"/>
          <w:b/>
          <w:bCs/>
          <w:sz w:val="24"/>
          <w:szCs w:val="24"/>
          <w:u w:val="single"/>
          <w:lang w:val="es-MX"/>
        </w:rPr>
      </w:pPr>
      <w:r>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El ………de………………de………..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8AA0" w14:textId="77777777" w:rsidR="00565914" w:rsidRDefault="00565914" w:rsidP="00D54B95">
      <w:pPr>
        <w:spacing w:after="0" w:line="240" w:lineRule="auto"/>
      </w:pPr>
      <w:r>
        <w:separator/>
      </w:r>
    </w:p>
  </w:endnote>
  <w:endnote w:type="continuationSeparator" w:id="0">
    <w:p w14:paraId="54F12525" w14:textId="77777777" w:rsidR="00565914" w:rsidRDefault="0056591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FB9F" w14:textId="77777777" w:rsidR="00565914" w:rsidRDefault="00565914" w:rsidP="00D54B95">
      <w:pPr>
        <w:spacing w:after="0" w:line="240" w:lineRule="auto"/>
      </w:pPr>
      <w:r>
        <w:separator/>
      </w:r>
    </w:p>
  </w:footnote>
  <w:footnote w:type="continuationSeparator" w:id="0">
    <w:p w14:paraId="4103A919" w14:textId="77777777" w:rsidR="00565914" w:rsidRDefault="0056591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FA0636F"/>
    <w:multiLevelType w:val="multilevel"/>
    <w:tmpl w:val="A83C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973F1"/>
    <w:multiLevelType w:val="multilevel"/>
    <w:tmpl w:val="5C8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349B4D34"/>
    <w:multiLevelType w:val="multilevel"/>
    <w:tmpl w:val="F204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D6980"/>
    <w:multiLevelType w:val="multilevel"/>
    <w:tmpl w:val="4B6A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59D4676F"/>
    <w:multiLevelType w:val="multilevel"/>
    <w:tmpl w:val="C5C2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5F27E0"/>
    <w:multiLevelType w:val="multilevel"/>
    <w:tmpl w:val="DBD8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49F3658"/>
    <w:multiLevelType w:val="multilevel"/>
    <w:tmpl w:val="370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51788"/>
    <w:multiLevelType w:val="multilevel"/>
    <w:tmpl w:val="DDE6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3"/>
  </w:num>
  <w:num w:numId="2">
    <w:abstractNumId w:val="19"/>
  </w:num>
  <w:num w:numId="3">
    <w:abstractNumId w:val="18"/>
  </w:num>
  <w:num w:numId="4">
    <w:abstractNumId w:val="11"/>
  </w:num>
  <w:num w:numId="5">
    <w:abstractNumId w:val="6"/>
  </w:num>
  <w:num w:numId="6">
    <w:abstractNumId w:val="14"/>
  </w:num>
  <w:num w:numId="7">
    <w:abstractNumId w:val="17"/>
  </w:num>
  <w:num w:numId="8">
    <w:abstractNumId w:val="7"/>
  </w:num>
  <w:num w:numId="9">
    <w:abstractNumId w:val="8"/>
  </w:num>
  <w:num w:numId="10">
    <w:abstractNumId w:val="12"/>
  </w:num>
  <w:num w:numId="11">
    <w:abstractNumId w:val="3"/>
  </w:num>
  <w:num w:numId="12">
    <w:abstractNumId w:val="0"/>
  </w:num>
  <w:num w:numId="13">
    <w:abstractNumId w:val="5"/>
  </w:num>
  <w:num w:numId="14">
    <w:abstractNumId w:val="9"/>
  </w:num>
  <w:num w:numId="15">
    <w:abstractNumId w:val="4"/>
  </w:num>
  <w:num w:numId="16">
    <w:abstractNumId w:val="10"/>
  </w:num>
  <w:num w:numId="17">
    <w:abstractNumId w:val="1"/>
  </w:num>
  <w:num w:numId="18">
    <w:abstractNumId w:val="16"/>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914"/>
    <w:rsid w:val="00565AD0"/>
    <w:rsid w:val="00582917"/>
    <w:rsid w:val="0058578C"/>
    <w:rsid w:val="005917BB"/>
    <w:rsid w:val="00593B16"/>
    <w:rsid w:val="005A1702"/>
    <w:rsid w:val="005B080D"/>
    <w:rsid w:val="005B3F86"/>
    <w:rsid w:val="005B4656"/>
    <w:rsid w:val="005B5285"/>
    <w:rsid w:val="005B59AC"/>
    <w:rsid w:val="005C14A3"/>
    <w:rsid w:val="005D4430"/>
    <w:rsid w:val="005E4B2C"/>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5043"/>
    <w:rsid w:val="008D719A"/>
    <w:rsid w:val="008D71EF"/>
    <w:rsid w:val="008F551C"/>
    <w:rsid w:val="00907F33"/>
    <w:rsid w:val="00951517"/>
    <w:rsid w:val="00973CFA"/>
    <w:rsid w:val="00991259"/>
    <w:rsid w:val="009A05A4"/>
    <w:rsid w:val="009A1945"/>
    <w:rsid w:val="009A7C81"/>
    <w:rsid w:val="009B3918"/>
    <w:rsid w:val="009E17EF"/>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C5BBB"/>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6A4A"/>
    <w:rsid w:val="00F57BE5"/>
    <w:rsid w:val="00F622B4"/>
    <w:rsid w:val="00F63B76"/>
    <w:rsid w:val="00F63EC7"/>
    <w:rsid w:val="00F75062"/>
    <w:rsid w:val="00F75CE9"/>
    <w:rsid w:val="00F97A9A"/>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14367748">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4964</Words>
  <Characters>27305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18</cp:revision>
  <cp:lastPrinted>2024-02-23T11:36:00Z</cp:lastPrinted>
  <dcterms:created xsi:type="dcterms:W3CDTF">2026-04-07T16:42:00Z</dcterms:created>
  <dcterms:modified xsi:type="dcterms:W3CDTF">2026-04-30T12:11:00Z</dcterms:modified>
</cp:coreProperties>
</file>