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AD2FBA8"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proofErr w:type="spellStart"/>
      <w:r w:rsidRPr="009A7C81">
        <w:rPr>
          <w:rFonts w:ascii="Arial" w:hAnsi="Arial" w:cs="Arial"/>
          <w:b/>
          <w:sz w:val="24"/>
          <w:szCs w:val="24"/>
          <w:u w:val="single"/>
          <w:lang w:val="es-MX"/>
        </w:rPr>
        <w:t>N</w:t>
      </w:r>
      <w:r w:rsidRPr="009A7C81">
        <w:rPr>
          <w:rFonts w:ascii="Arial" w:hAnsi="Arial" w:cs="Arial"/>
          <w:sz w:val="24"/>
          <w:szCs w:val="24"/>
          <w:u w:val="single"/>
          <w:lang w:val="es-MX"/>
        </w:rPr>
        <w:t>º</w:t>
      </w:r>
      <w:proofErr w:type="spellEnd"/>
      <w:r w:rsidR="003F72E2" w:rsidRPr="009A7C81">
        <w:rPr>
          <w:rFonts w:ascii="Arial" w:hAnsi="Arial" w:cs="Arial"/>
          <w:sz w:val="24"/>
          <w:szCs w:val="24"/>
          <w:lang w:val="es-MX"/>
        </w:rPr>
        <w:t xml:space="preserve">: </w:t>
      </w:r>
      <w:r w:rsidR="00406D64">
        <w:rPr>
          <w:rFonts w:ascii="Arial" w:hAnsi="Arial" w:cs="Arial"/>
          <w:sz w:val="24"/>
          <w:szCs w:val="24"/>
          <w:lang w:val="es-MX"/>
        </w:rPr>
        <w:t>56</w:t>
      </w:r>
      <w:r w:rsidR="00CA021E">
        <w:rPr>
          <w:rFonts w:ascii="Arial" w:hAnsi="Arial" w:cs="Arial"/>
          <w:sz w:val="24"/>
          <w:szCs w:val="24"/>
          <w:lang w:val="es-MX"/>
        </w:rPr>
        <w:t>7041</w:t>
      </w:r>
    </w:p>
    <w:p w14:paraId="64433526" w14:textId="7BF4265A" w:rsidR="00C3715E"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917BB">
        <w:rPr>
          <w:rFonts w:ascii="Arial" w:hAnsi="Arial" w:cs="Arial"/>
          <w:sz w:val="24"/>
          <w:szCs w:val="24"/>
          <w:lang w:val="es-MX"/>
        </w:rPr>
        <w:t xml:space="preserve"> </w:t>
      </w:r>
      <w:bookmarkStart w:id="0" w:name="_Hlk207748011"/>
      <w:r w:rsidR="00CA021E" w:rsidRPr="00CA021E">
        <w:rPr>
          <w:rFonts w:ascii="Arial" w:hAnsi="Arial" w:cs="Arial"/>
          <w:sz w:val="24"/>
          <w:szCs w:val="24"/>
        </w:rPr>
        <w:t>La presente Adjudicación Simple tiene por objeto la provisión de pintura vial y materiales para demarcación de sendas peatonales, conforme a las especificaciones técnicas y cantidades establecidas en el Pliego de Bases y Condiciones Particulares y su Anexo I – Planilla de Cotización, destinados a establecimientos educativos de la ciudad de San Ramón de la Nueva Orán.</w:t>
      </w:r>
    </w:p>
    <w:bookmarkEnd w:id="0"/>
    <w:p w14:paraId="17EE21AB" w14:textId="57262929"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Pr>
          <w:rFonts w:ascii="Arial" w:hAnsi="Arial" w:cs="Arial"/>
          <w:sz w:val="24"/>
          <w:szCs w:val="24"/>
          <w:lang w:val="es-MX"/>
        </w:rPr>
        <w:t>jueves</w:t>
      </w:r>
      <w:r w:rsidR="00E90C77">
        <w:rPr>
          <w:rFonts w:ascii="Arial" w:hAnsi="Arial" w:cs="Arial"/>
          <w:sz w:val="24"/>
          <w:szCs w:val="24"/>
          <w:lang w:val="es-MX"/>
        </w:rPr>
        <w:t xml:space="preserve"> </w:t>
      </w:r>
      <w:r w:rsidR="00CA021E">
        <w:rPr>
          <w:rFonts w:ascii="Arial" w:hAnsi="Arial" w:cs="Arial"/>
          <w:sz w:val="24"/>
          <w:szCs w:val="24"/>
          <w:lang w:val="es-MX"/>
        </w:rPr>
        <w:t>9</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40F187EA"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406D64">
        <w:rPr>
          <w:rFonts w:ascii="Arial" w:hAnsi="Arial" w:cs="Arial"/>
          <w:sz w:val="24"/>
          <w:szCs w:val="24"/>
          <w:lang w:val="es-419"/>
        </w:rPr>
        <w:t>0</w:t>
      </w:r>
      <w:r w:rsidR="00CA021E">
        <w:rPr>
          <w:rFonts w:ascii="Arial" w:hAnsi="Arial" w:cs="Arial"/>
          <w:sz w:val="24"/>
          <w:szCs w:val="24"/>
          <w:lang w:val="es-419"/>
        </w:rPr>
        <w:t>9</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 xml:space="preserve">La presente contratación se regirá por el presente Pliego, sus anexos y circulares aclaratorias o modificatorias que se emitan, y por las normas del Derecho Argentino que resulten aplicables, en particular la Ley Provincial </w:t>
      </w:r>
      <w:proofErr w:type="spellStart"/>
      <w:r w:rsidR="00B73A86" w:rsidRPr="00B73A86">
        <w:rPr>
          <w:rFonts w:ascii="Arial" w:hAnsi="Arial" w:cs="Arial"/>
          <w:sz w:val="24"/>
          <w:szCs w:val="24"/>
        </w:rPr>
        <w:t>Nº</w:t>
      </w:r>
      <w:proofErr w:type="spellEnd"/>
      <w:r w:rsidR="00B73A86" w:rsidRPr="00B73A86">
        <w:rPr>
          <w:rFonts w:ascii="Arial" w:hAnsi="Arial" w:cs="Arial"/>
          <w:sz w:val="24"/>
          <w:szCs w:val="24"/>
        </w:rPr>
        <w:t xml:space="preserve"> 8072 de Contrataciones de la Provincia de Salta y su reglamentación</w:t>
      </w:r>
      <w:r w:rsidRPr="008A5043">
        <w:rPr>
          <w:rFonts w:ascii="Arial" w:hAnsi="Arial" w:cs="Arial"/>
          <w:sz w:val="24"/>
          <w:szCs w:val="24"/>
          <w:lang w:val="es-MX"/>
        </w:rPr>
        <w:t>.</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04803AB7" w14:textId="407F7111"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sidR="00330321">
        <w:rPr>
          <w:rFonts w:ascii="Arial" w:hAnsi="Arial" w:cs="Arial"/>
          <w:sz w:val="24"/>
          <w:szCs w:val="24"/>
          <w:lang w:val="es-MX"/>
        </w:rPr>
        <w:t xml:space="preserve">, </w:t>
      </w:r>
      <w:r w:rsidR="00330321" w:rsidRPr="00330321">
        <w:rPr>
          <w:rFonts w:ascii="Arial" w:hAnsi="Arial" w:cs="Arial"/>
          <w:sz w:val="24"/>
          <w:szCs w:val="24"/>
        </w:rPr>
        <w:t>en caso de encontrarse inscripto</w:t>
      </w:r>
      <w:r w:rsidR="00330321">
        <w:rPr>
          <w:rFonts w:ascii="Arial" w:hAnsi="Arial" w:cs="Arial"/>
          <w:sz w:val="24"/>
          <w:szCs w:val="24"/>
        </w:rPr>
        <w:t>.</w:t>
      </w:r>
      <w:r>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en la que conste expresamente que no se encuentra incurso en ninguna de las inhabilitaciones previstas por la Ley en su Art. 32º (suspensión o inhabilitación en Registro General de Contratistas de la Provincia, condena por delitos dolosos e </w:t>
      </w:r>
      <w:r w:rsidRPr="00FA3D52">
        <w:rPr>
          <w:rFonts w:ascii="Arial" w:hAnsi="Arial" w:cs="Arial"/>
          <w:sz w:val="24"/>
          <w:szCs w:val="24"/>
          <w:lang w:val="es-MX"/>
        </w:rPr>
        <w:lastRenderedPageBreak/>
        <w:t>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6910B7FE" w14:textId="684D1695"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 xml:space="preserve">Declaración jurada de cumplimiento de normas </w:t>
      </w:r>
      <w:r w:rsidR="005917BB">
        <w:rPr>
          <w:rFonts w:ascii="Arial" w:hAnsi="Arial" w:cs="Arial"/>
          <w:sz w:val="24"/>
          <w:szCs w:val="24"/>
          <w:lang w:val="es-MX"/>
        </w:rPr>
        <w:t>laborales y previsionales.</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773D9653"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 xml:space="preserve">podrá </w:t>
      </w:r>
      <w:r w:rsidR="0084581F" w:rsidRPr="0084581F">
        <w:rPr>
          <w:rFonts w:ascii="Arial" w:hAnsi="Arial" w:cs="Arial"/>
          <w:sz w:val="24"/>
          <w:szCs w:val="24"/>
          <w:lang w:val="es-MX"/>
        </w:rPr>
        <w:lastRenderedPageBreak/>
        <w:t>declararlo PREADJUDICATARIO o declarar desierta y/o fracasada la Adjudicación, sin derecho a reclamo alguno por parte de los OFERENTES.</w:t>
      </w:r>
    </w:p>
    <w:p w14:paraId="757160E5" w14:textId="2FBFEAB4"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No se requiere presentación de muestras en la presente contratación, pero en su reemplazo 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xml:space="preserve">) una “práctica </w:t>
      </w:r>
      <w:r w:rsidRPr="008A5043">
        <w:rPr>
          <w:rFonts w:ascii="Arial" w:hAnsi="Arial" w:cs="Arial"/>
          <w:sz w:val="24"/>
          <w:szCs w:val="24"/>
          <w:lang w:val="es-MX"/>
        </w:rPr>
        <w:lastRenderedPageBreak/>
        <w:t>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76816C0D" w14:textId="2DAAFC66" w:rsidR="00FA3D52" w:rsidRPr="00FA3D52"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453607FA" w:rsidR="00FA3D52" w:rsidRDefault="00B73A86" w:rsidP="00AB3060">
      <w:pPr>
        <w:spacing w:after="0" w:line="360" w:lineRule="auto"/>
        <w:jc w:val="both"/>
        <w:rPr>
          <w:rFonts w:ascii="Arial" w:hAnsi="Arial" w:cs="Arial"/>
          <w:sz w:val="24"/>
          <w:szCs w:val="24"/>
          <w:lang w:val="es-MX"/>
        </w:rPr>
      </w:pPr>
      <w:r w:rsidRPr="00B73A86">
        <w:rPr>
          <w:rFonts w:ascii="Arial" w:hAnsi="Arial" w:cs="Arial"/>
          <w:sz w:val="24"/>
          <w:szCs w:val="24"/>
          <w:lang w:val="es-MX"/>
        </w:rPr>
        <w:t>La adjudicación se comunicará al interesado mediante correo electrónico, mensaje de WhatsApp —cuando el oferente hubiera denunciado número telefónico a tal efecto— y/o notificación escrita al domicilio declarado en el Formulario de DDJJ adjunto al presente, dejándose constancia debida en el expediente del acuse de recibo de la comunicación, antes del vencimiento del mantenimiento de la oferta</w:t>
      </w:r>
      <w:r w:rsidR="00FA3D52" w:rsidRPr="00FA3D52">
        <w:rPr>
          <w:rFonts w:ascii="Arial" w:hAnsi="Arial" w:cs="Arial"/>
          <w:sz w:val="24"/>
          <w:szCs w:val="24"/>
          <w:lang w:val="es-MX"/>
        </w:rPr>
        <w:t>.</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lastRenderedPageBreak/>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4E6492B7"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B73A86">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3B146507" w14:textId="4AA8BBBB" w:rsidR="00E90C77"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lastRenderedPageBreak/>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0DB18DFA" w14:textId="77777777" w:rsidR="00B42DC7" w:rsidRDefault="00B42DC7" w:rsidP="00DD1DFF">
      <w:pPr>
        <w:spacing w:line="360" w:lineRule="auto"/>
        <w:jc w:val="center"/>
        <w:rPr>
          <w:rFonts w:ascii="Arial" w:hAnsi="Arial" w:cs="Arial"/>
          <w:b/>
          <w:bCs/>
          <w:sz w:val="32"/>
          <w:szCs w:val="32"/>
          <w:u w:val="single"/>
          <w:lang w:val="es-MX"/>
        </w:rPr>
      </w:pPr>
    </w:p>
    <w:p w14:paraId="7855DD89" w14:textId="77777777" w:rsidR="00B42DC7" w:rsidRDefault="00B42DC7" w:rsidP="00DD1DFF">
      <w:pPr>
        <w:spacing w:line="360" w:lineRule="auto"/>
        <w:jc w:val="center"/>
        <w:rPr>
          <w:rFonts w:ascii="Arial" w:hAnsi="Arial" w:cs="Arial"/>
          <w:b/>
          <w:bCs/>
          <w:sz w:val="32"/>
          <w:szCs w:val="32"/>
          <w:u w:val="single"/>
          <w:lang w:val="es-MX"/>
        </w:rPr>
      </w:pPr>
    </w:p>
    <w:p w14:paraId="31824347" w14:textId="77777777" w:rsidR="00B42DC7" w:rsidRDefault="00B42DC7" w:rsidP="00DD1DFF">
      <w:pPr>
        <w:spacing w:line="360" w:lineRule="auto"/>
        <w:jc w:val="center"/>
        <w:rPr>
          <w:rFonts w:ascii="Arial" w:hAnsi="Arial" w:cs="Arial"/>
          <w:b/>
          <w:bCs/>
          <w:sz w:val="32"/>
          <w:szCs w:val="32"/>
          <w:u w:val="single"/>
          <w:lang w:val="es-MX"/>
        </w:rPr>
      </w:pPr>
    </w:p>
    <w:p w14:paraId="733BE796" w14:textId="77777777" w:rsidR="00B42DC7" w:rsidRDefault="00B42DC7" w:rsidP="00DD1DFF">
      <w:pPr>
        <w:spacing w:line="360" w:lineRule="auto"/>
        <w:jc w:val="center"/>
        <w:rPr>
          <w:rFonts w:ascii="Arial" w:hAnsi="Arial" w:cs="Arial"/>
          <w:b/>
          <w:bCs/>
          <w:sz w:val="32"/>
          <w:szCs w:val="32"/>
          <w:u w:val="single"/>
          <w:lang w:val="es-MX"/>
        </w:rPr>
      </w:pPr>
    </w:p>
    <w:p w14:paraId="465B7F30" w14:textId="77777777" w:rsidR="00B42DC7" w:rsidRDefault="00B42DC7"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25EDFC89"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OBJETO</w:t>
      </w:r>
    </w:p>
    <w:p w14:paraId="4EA9AFF8" w14:textId="54024DA5" w:rsidR="00593B16" w:rsidRPr="00593B16" w:rsidRDefault="000A68DC" w:rsidP="00593B16">
      <w:pPr>
        <w:spacing w:line="360" w:lineRule="auto"/>
        <w:jc w:val="both"/>
        <w:rPr>
          <w:rFonts w:ascii="Arial" w:hAnsi="Arial" w:cs="Arial"/>
          <w:sz w:val="24"/>
          <w:szCs w:val="24"/>
        </w:rPr>
      </w:pPr>
      <w:r w:rsidRPr="000A68DC">
        <w:rPr>
          <w:rFonts w:ascii="Arial" w:hAnsi="Arial" w:cs="Arial"/>
          <w:sz w:val="24"/>
          <w:szCs w:val="24"/>
        </w:rPr>
        <w:t>La presente contratación tiene por objeto la provisión de pintura vial y materiales para demarcación horizontal destinados a la señalización de sendas peatonales en establecimientos educativos de la ciudad de San Ramón de la Nueva Orán, conforme a las especificaciones técnicas, cantidades y condiciones establecidas en el presente Pliego y su Anexo I – Planilla de Cotización</w:t>
      </w:r>
      <w:r w:rsidR="00593B16" w:rsidRPr="00593B16">
        <w:rPr>
          <w:rFonts w:ascii="Arial" w:hAnsi="Arial" w:cs="Arial"/>
          <w:sz w:val="24"/>
          <w:szCs w:val="24"/>
        </w:rPr>
        <w:t>.</w:t>
      </w:r>
    </w:p>
    <w:p w14:paraId="194DB358" w14:textId="7FB7834E"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CONOCIMIENTO DE ANTECEDENTES</w:t>
      </w:r>
    </w:p>
    <w:p w14:paraId="54E5F3E2" w14:textId="72692EBC"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Quien concurra a la presente convocatoria no podrá alegar, en caso alguno, falta de conocimiento del presente pliego; el solo hecho de concurrir implica el perfecto conocimiento, comprensión y aceptación de las cláusulas del pliego de condiciones generales y del presente pliego, como así también de servicio a prestar, de todos los impuestos nacionales y provinciales y de las tasas que sean de aplicación a esta contratación, de todo decreto, disposición, ley, norma, ordenanza, reglamento, etc., emanado de Autoridad Competente o de Organismos y/o Institutos, Públicos y/o Privados, en los órdenes internacional, nacional, provincial o municipal, que sea inherente a esta contratación o que con ello tenga atingencia. En consecuencia, no podrá alegar posteriormente causa alguna de ignorancia en referencia a lo enunciado precedentemente y no se considerará adicional todo aquello, aún no especificado, que tienda a satisfacer su correcta provisión.</w:t>
      </w:r>
    </w:p>
    <w:p w14:paraId="3B479DA9" w14:textId="0C086228" w:rsidR="00CA021E"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El oferente declara conocer y se compromete a cumplir con la normativa vigente en materia ambiental, tanto a nivel nacional como de la provincia de Salta, incluyendo —pero no limitándose a— la Ley General del Ambiente Nº 25.675, la Ley Provincial Nº 7070 de Protección del Medio Ambiente, y demás disposiciones, decretos y reglamentaciones complementarias. Asimismo, se compromete a ejecutar todas las tareas objeto del contrato respetando los principios de sustentabilidad, prevención y responsabilidad ambiental, asumiendo las obligaciones que surjan del marco legal vigente y cualquier modificación que pudiera surgir durante la ejecución del contrato</w:t>
      </w:r>
      <w:r w:rsidR="00CA021E">
        <w:rPr>
          <w:rFonts w:ascii="Arial" w:hAnsi="Arial" w:cs="Arial"/>
          <w:sz w:val="24"/>
          <w:szCs w:val="24"/>
          <w:lang w:val="es-MX"/>
        </w:rPr>
        <w:t>.</w:t>
      </w:r>
    </w:p>
    <w:p w14:paraId="4E793B6A" w14:textId="01309597" w:rsidR="00E67059" w:rsidRPr="00E67059" w:rsidRDefault="00E67059"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CALIDAD DE LOS PRODUCTOS</w:t>
      </w:r>
    </w:p>
    <w:p w14:paraId="1BE925A8" w14:textId="77777777" w:rsidR="00E67059" w:rsidRPr="00E67059" w:rsidRDefault="00E67059" w:rsidP="00E67059">
      <w:pPr>
        <w:spacing w:line="360" w:lineRule="auto"/>
        <w:jc w:val="both"/>
        <w:rPr>
          <w:rFonts w:ascii="Arial" w:hAnsi="Arial" w:cs="Arial"/>
          <w:sz w:val="24"/>
          <w:szCs w:val="24"/>
          <w:lang w:val="es-MX"/>
        </w:rPr>
      </w:pPr>
      <w:r w:rsidRPr="00E67059">
        <w:rPr>
          <w:rFonts w:ascii="Arial" w:hAnsi="Arial" w:cs="Arial"/>
          <w:sz w:val="24"/>
          <w:szCs w:val="24"/>
          <w:lang w:val="es-MX"/>
        </w:rPr>
        <w:t>Los bienes ofrecidos deberán ser nuevos, sin uso, de primera calidad y cumplir con las especificaciones técnicas del Anexo I.</w:t>
      </w:r>
    </w:p>
    <w:p w14:paraId="44BF774F" w14:textId="45783FF9" w:rsidR="00E67059" w:rsidRDefault="00E67059" w:rsidP="005917BB">
      <w:pPr>
        <w:spacing w:line="360" w:lineRule="auto"/>
        <w:jc w:val="both"/>
        <w:rPr>
          <w:rFonts w:ascii="Arial" w:hAnsi="Arial" w:cs="Arial"/>
          <w:b/>
          <w:bCs/>
          <w:sz w:val="24"/>
          <w:szCs w:val="24"/>
          <w:lang w:val="es-MX"/>
        </w:rPr>
      </w:pPr>
      <w:r w:rsidRPr="00E67059">
        <w:rPr>
          <w:rFonts w:ascii="Arial" w:hAnsi="Arial" w:cs="Arial"/>
          <w:sz w:val="24"/>
          <w:szCs w:val="24"/>
          <w:lang w:val="es-MX"/>
        </w:rPr>
        <w:lastRenderedPageBreak/>
        <w:t>La Municipalidad podrá rechazar aquellos productos que no reúnan las condiciones requeridas, debiendo el adjudicatario proceder a su reemplazo sin costo adicional.</w:t>
      </w:r>
      <w:r w:rsidR="005917BB" w:rsidRPr="005917BB">
        <w:rPr>
          <w:rFonts w:ascii="Arial" w:hAnsi="Arial" w:cs="Arial"/>
          <w:b/>
          <w:bCs/>
          <w:sz w:val="24"/>
          <w:szCs w:val="24"/>
          <w:lang w:val="es-MX"/>
        </w:rPr>
        <w:tab/>
      </w:r>
    </w:p>
    <w:p w14:paraId="3D06575B" w14:textId="50937A16"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ESPECIFICACIONES TECNICAS Y DEMAS CONDICIONES</w:t>
      </w:r>
    </w:p>
    <w:p w14:paraId="121C7DF4"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presente procedimiento tiene por objeto la contratación del servicio de riego y provisión de agua para tareas operativas, destinado a la ejecución de trabajos que resulten necesarios en el ámbito del ejido municipal y/o en aquellos sectores donde la Municipalidad de San Ramón de la Nueva Orán deba intervenir, incluyendo —de manera enunciativa y no limitativa— rutas nacionales, provinciales, calles urbanas, caminos vecinales, espacios públicos, obras en ejecución y cualquier otro lugar donde se requiera dicha prestación.</w:t>
      </w:r>
    </w:p>
    <w:p w14:paraId="539B9CB1" w14:textId="77777777"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El servicio comprenderá la realización de tareas de riego, humectación, control de polvo, abastecimiento de agua y cualquier otra actividad vinculada o complementaria que sea requerida por las distintas áreas operativas de la Municipalidad, conforme a las necesidades del servicio público y a las instrucciones que oportunamente imparta la autoridad de aplicación.</w:t>
      </w:r>
    </w:p>
    <w:p w14:paraId="4012C38C" w14:textId="318CC41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prestación deberá ejecutarse con los medios, equipos y recursos que resulten adecuados para el cumplimiento eficiente del servicio, quedando a cargo del adjudicatario la provisión de los mismos.</w:t>
      </w:r>
    </w:p>
    <w:p w14:paraId="7A917373" w14:textId="2056F251" w:rsidR="000B7557" w:rsidRPr="000B7557" w:rsidRDefault="000B7557" w:rsidP="000B7557">
      <w:pPr>
        <w:spacing w:line="360" w:lineRule="auto"/>
        <w:jc w:val="both"/>
        <w:rPr>
          <w:rFonts w:ascii="Arial" w:hAnsi="Arial" w:cs="Arial"/>
          <w:sz w:val="24"/>
          <w:szCs w:val="24"/>
          <w:lang w:val="es-MX"/>
        </w:rPr>
      </w:pPr>
      <w:r w:rsidRPr="000B7557">
        <w:rPr>
          <w:rFonts w:ascii="Arial" w:hAnsi="Arial" w:cs="Arial"/>
          <w:sz w:val="24"/>
          <w:szCs w:val="24"/>
          <w:lang w:val="es-MX"/>
        </w:rPr>
        <w:t>La Municipalidad podrá determinar los lugares, frecuencias, horarios y modalidades de prestación, de acuerdo con los requerimientos operativos que se presenten durante la vigencia del contrato.</w:t>
      </w:r>
    </w:p>
    <w:p w14:paraId="3539DF49" w14:textId="77777777"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Cumplimiento ambiental: Todas las actividades deberán realizarse conforme a la normativa ambiental vigente de la provincia de Salta y de la Nación, promoviendo prácticas que reduzcan el impacto ambiental y mejoren las condiciones del sitio.</w:t>
      </w:r>
    </w:p>
    <w:p w14:paraId="61270493" w14:textId="3F3A1E91"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 Informe de tareas: El adjudicatario deberá presentar un informe mensual de las tareas realizadas, incluyendo un registro de actividades y observaciones relevantes. Esto es condición esencial para abonar el precio mensual correspondiente.</w:t>
      </w:r>
    </w:p>
    <w:p w14:paraId="30E758FD" w14:textId="515DACAB" w:rsidR="005917BB" w:rsidRPr="005917BB" w:rsidRDefault="005917BB" w:rsidP="005917BB">
      <w:pPr>
        <w:spacing w:line="360" w:lineRule="auto"/>
        <w:jc w:val="both"/>
        <w:rPr>
          <w:rFonts w:ascii="Arial" w:hAnsi="Arial" w:cs="Arial"/>
          <w:sz w:val="24"/>
          <w:szCs w:val="24"/>
          <w:lang w:val="es-MX"/>
        </w:rPr>
      </w:pPr>
      <w:r>
        <w:rPr>
          <w:rFonts w:ascii="Arial" w:hAnsi="Arial" w:cs="Arial"/>
          <w:sz w:val="24"/>
          <w:szCs w:val="24"/>
          <w:lang w:val="es-MX"/>
        </w:rPr>
        <w:t xml:space="preserve">Las tareas </w:t>
      </w:r>
      <w:r w:rsidRPr="005917BB">
        <w:rPr>
          <w:rFonts w:ascii="Arial" w:hAnsi="Arial" w:cs="Arial"/>
          <w:sz w:val="24"/>
          <w:szCs w:val="24"/>
          <w:lang w:val="es-MX"/>
        </w:rPr>
        <w:t xml:space="preserve">deberán ser cumplidas con la maquinaria requerida y el personal correspondiente, en jornadas que aseguren la continuidad y eficiencia de las tareas establecidas en las condiciones técnicas. </w:t>
      </w:r>
    </w:p>
    <w:p w14:paraId="5F579683" w14:textId="77777777" w:rsidR="00E67059" w:rsidRPr="00E67059" w:rsidRDefault="001A53BE" w:rsidP="00E67059">
      <w:pPr>
        <w:pStyle w:val="Prrafodelista"/>
        <w:numPr>
          <w:ilvl w:val="0"/>
          <w:numId w:val="4"/>
        </w:numPr>
        <w:spacing w:line="360" w:lineRule="auto"/>
        <w:jc w:val="both"/>
        <w:rPr>
          <w:rFonts w:ascii="Arial" w:hAnsi="Arial" w:cs="Arial"/>
          <w:sz w:val="24"/>
          <w:szCs w:val="24"/>
          <w:lang w:val="es-MX"/>
        </w:rPr>
      </w:pPr>
      <w:r w:rsidRPr="00E67059">
        <w:rPr>
          <w:rFonts w:ascii="Arial" w:hAnsi="Arial" w:cs="Arial"/>
          <w:b/>
          <w:bCs/>
          <w:sz w:val="24"/>
          <w:szCs w:val="24"/>
          <w:lang w:val="es-MX"/>
        </w:rPr>
        <w:t>PRECIO</w:t>
      </w:r>
      <w:r w:rsidR="0027329F" w:rsidRPr="00E67059">
        <w:rPr>
          <w:rFonts w:ascii="Arial" w:hAnsi="Arial" w:cs="Arial"/>
          <w:b/>
          <w:bCs/>
          <w:sz w:val="24"/>
          <w:szCs w:val="24"/>
          <w:lang w:val="es-MX"/>
        </w:rPr>
        <w:t xml:space="preserve">: </w:t>
      </w:r>
    </w:p>
    <w:p w14:paraId="6F65DE0F" w14:textId="1FE2EAD4" w:rsidR="0027329F" w:rsidRPr="00E67059" w:rsidRDefault="0027329F" w:rsidP="00E67059">
      <w:pPr>
        <w:spacing w:line="360" w:lineRule="auto"/>
        <w:jc w:val="both"/>
        <w:rPr>
          <w:rFonts w:ascii="Arial" w:hAnsi="Arial" w:cs="Arial"/>
          <w:sz w:val="24"/>
          <w:szCs w:val="24"/>
          <w:lang w:val="es-MX"/>
        </w:rPr>
      </w:pPr>
      <w:r w:rsidRPr="00E67059">
        <w:rPr>
          <w:rFonts w:ascii="Arial" w:hAnsi="Arial" w:cs="Arial"/>
          <w:sz w:val="24"/>
          <w:szCs w:val="24"/>
          <w:lang w:val="es-MX"/>
        </w:rPr>
        <w:t xml:space="preserve">Las cotizaciones deberán ser presentadas por renglón y en Moneda Argentina, consignando: </w:t>
      </w:r>
    </w:p>
    <w:p w14:paraId="28DA44EB" w14:textId="77777777" w:rsidR="00074964" w:rsidRPr="00633B26" w:rsidRDefault="0027329F" w:rsidP="00074964">
      <w:pPr>
        <w:autoSpaceDE w:val="0"/>
        <w:autoSpaceDN w:val="0"/>
        <w:adjustRightInd w:val="0"/>
        <w:spacing w:line="360" w:lineRule="auto"/>
        <w:jc w:val="both"/>
        <w:rPr>
          <w:rFonts w:ascii="Arial" w:hAnsi="Arial" w:cs="Arial"/>
          <w:bCs/>
          <w:sz w:val="24"/>
          <w:szCs w:val="24"/>
        </w:rPr>
      </w:pPr>
      <w:r w:rsidRPr="0027329F">
        <w:rPr>
          <w:rFonts w:ascii="Arial" w:hAnsi="Arial" w:cs="Arial"/>
          <w:sz w:val="24"/>
          <w:szCs w:val="24"/>
          <w:lang w:val="es-MX"/>
        </w:rPr>
        <w:lastRenderedPageBreak/>
        <w:t>-</w:t>
      </w:r>
      <w:r w:rsidRPr="0027329F">
        <w:rPr>
          <w:rFonts w:ascii="Arial" w:hAnsi="Arial" w:cs="Arial"/>
          <w:sz w:val="24"/>
          <w:szCs w:val="24"/>
          <w:lang w:val="es-MX"/>
        </w:rPr>
        <w:tab/>
        <w:t>Precio Total con IVA y hasta dos decimales.</w:t>
      </w:r>
      <w:r w:rsidR="00074964">
        <w:rPr>
          <w:rFonts w:ascii="Arial" w:hAnsi="Arial" w:cs="Arial"/>
          <w:sz w:val="24"/>
          <w:szCs w:val="24"/>
          <w:lang w:val="es-MX"/>
        </w:rPr>
        <w:t xml:space="preserve"> </w:t>
      </w:r>
      <w:r w:rsidR="00074964" w:rsidRPr="00633B26">
        <w:rPr>
          <w:rFonts w:ascii="Arial" w:hAnsi="Arial" w:cs="Arial"/>
          <w:bCs/>
          <w:sz w:val="24"/>
          <w:szCs w:val="24"/>
        </w:rPr>
        <w:t>En caso de no hacerse expresa mención a ello en la oferta, quedará tácitamente establecido que dicho valor se halla incluido en la misma.</w:t>
      </w:r>
    </w:p>
    <w:p w14:paraId="357F2D95"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Se entenderá en consecuencia que se encuentran incluidas en el precio todas las prestaciones que, de acuerdo a su juicio y experiencia, deberá realizar para el fiel y estricto cumplimiento de sus obligaciones, aunque las mismas no explicitadas en la oferta.</w:t>
      </w:r>
    </w:p>
    <w:p w14:paraId="237EFA86" w14:textId="004A7E38" w:rsidR="00074964" w:rsidRPr="00074964" w:rsidRDefault="00074964" w:rsidP="00E77C0D">
      <w:pPr>
        <w:spacing w:line="360" w:lineRule="auto"/>
        <w:jc w:val="both"/>
        <w:rPr>
          <w:rFonts w:ascii="Arial" w:hAnsi="Arial" w:cs="Arial"/>
          <w:sz w:val="24"/>
          <w:szCs w:val="24"/>
          <w:lang w:val="es-MX"/>
        </w:rPr>
      </w:pPr>
      <w:r w:rsidRPr="00074964">
        <w:rPr>
          <w:rFonts w:ascii="Arial" w:hAnsi="Arial" w:cs="Arial"/>
          <w:sz w:val="24"/>
          <w:szCs w:val="24"/>
          <w:lang w:val="es-MX"/>
        </w:rPr>
        <w:t xml:space="preserve">La oferta económica presentada deberá contemplar la totalidad de los costos directos e indirectos necesarios para la correcta prestación del servicio </w:t>
      </w:r>
      <w:r>
        <w:rPr>
          <w:rFonts w:ascii="Arial" w:hAnsi="Arial" w:cs="Arial"/>
          <w:sz w:val="24"/>
          <w:szCs w:val="24"/>
          <w:lang w:val="es-MX"/>
        </w:rPr>
        <w:t>a contratar</w:t>
      </w:r>
      <w:r w:rsidRPr="00074964">
        <w:rPr>
          <w:rFonts w:ascii="Arial" w:hAnsi="Arial" w:cs="Arial"/>
          <w:sz w:val="24"/>
          <w:szCs w:val="24"/>
          <w:lang w:val="es-MX"/>
        </w:rPr>
        <w:t>, sin que ello implique erogación adicional alguna por parte de la Municipalidad.</w:t>
      </w:r>
    </w:p>
    <w:p w14:paraId="405F27EC" w14:textId="22EED60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FACTURACIÓN Y PAGO</w:t>
      </w:r>
    </w:p>
    <w:p w14:paraId="4101A0CA" w14:textId="4186859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El pago del servicio se realizará exclusivamente en base a la certificación de conformidad emitida por</w:t>
      </w:r>
      <w:r w:rsidR="00E77C0D">
        <w:rPr>
          <w:rFonts w:ascii="Arial" w:hAnsi="Arial" w:cs="Arial"/>
          <w:bCs/>
          <w:sz w:val="24"/>
          <w:szCs w:val="24"/>
        </w:rPr>
        <w:t xml:space="preserve"> la Municipalidad</w:t>
      </w:r>
      <w:r w:rsidRPr="00633B26">
        <w:rPr>
          <w:rFonts w:ascii="Arial" w:hAnsi="Arial" w:cs="Arial"/>
          <w:bCs/>
          <w:sz w:val="24"/>
          <w:szCs w:val="24"/>
        </w:rPr>
        <w:t>. Sin dicha certificación, no se reconocerá pago alguno, independientemente de las tareas que el adjudicatario afirme haber realizado.</w:t>
      </w:r>
    </w:p>
    <w:p w14:paraId="768246DD" w14:textId="59F94993"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Los pagos se efectuarán en forma </w:t>
      </w:r>
      <w:r w:rsidR="008A0FA1">
        <w:rPr>
          <w:rFonts w:ascii="Arial" w:hAnsi="Arial" w:cs="Arial"/>
          <w:bCs/>
          <w:sz w:val="24"/>
          <w:szCs w:val="24"/>
        </w:rPr>
        <w:t>mensual</w:t>
      </w:r>
      <w:r w:rsidRPr="00633B26">
        <w:rPr>
          <w:rFonts w:ascii="Arial" w:hAnsi="Arial" w:cs="Arial"/>
          <w:bCs/>
          <w:sz w:val="24"/>
          <w:szCs w:val="24"/>
        </w:rPr>
        <w:t>, previa verificación técnica y administrativa de los servicios efectivamente prestados.</w:t>
      </w:r>
    </w:p>
    <w:p w14:paraId="7EE5722F" w14:textId="02815642" w:rsidR="00074964"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contrato tendrá una duración de </w:t>
      </w:r>
      <w:r w:rsidR="00E77C0D">
        <w:rPr>
          <w:rFonts w:ascii="Arial" w:hAnsi="Arial" w:cs="Arial"/>
          <w:bCs/>
          <w:sz w:val="24"/>
          <w:szCs w:val="24"/>
        </w:rPr>
        <w:t>seis</w:t>
      </w:r>
      <w:r w:rsidRPr="00633B26">
        <w:rPr>
          <w:rFonts w:ascii="Arial" w:hAnsi="Arial" w:cs="Arial"/>
          <w:bCs/>
          <w:sz w:val="24"/>
          <w:szCs w:val="24"/>
        </w:rPr>
        <w:t xml:space="preserve"> (</w:t>
      </w:r>
      <w:r w:rsidR="00E77C0D">
        <w:rPr>
          <w:rFonts w:ascii="Arial" w:hAnsi="Arial" w:cs="Arial"/>
          <w:bCs/>
          <w:sz w:val="24"/>
          <w:szCs w:val="24"/>
        </w:rPr>
        <w:t>6</w:t>
      </w:r>
      <w:r w:rsidRPr="00633B26">
        <w:rPr>
          <w:rFonts w:ascii="Arial" w:hAnsi="Arial" w:cs="Arial"/>
          <w:bCs/>
          <w:sz w:val="24"/>
          <w:szCs w:val="24"/>
        </w:rPr>
        <w:t>) meses, contados a partir de la fecha de inicio establecida en el acta de comienzo de tareas, con opción de prórroga por igual o menor plazo, a exclusivo criterio de la Municipalidad. En caso de que la Municipalidad decida no hacer uso de dicha prórroga, el adjudicatario no tendrá derecho a reclamo ni indemnización alguna por ningún concepto.</w:t>
      </w:r>
    </w:p>
    <w:p w14:paraId="1CECF233" w14:textId="6B3D63AD" w:rsidR="008A0FA1" w:rsidRPr="008A0FA1" w:rsidRDefault="00E67059" w:rsidP="008A0FA1">
      <w:pPr>
        <w:autoSpaceDE w:val="0"/>
        <w:autoSpaceDN w:val="0"/>
        <w:adjustRightInd w:val="0"/>
        <w:spacing w:line="360" w:lineRule="auto"/>
        <w:jc w:val="both"/>
        <w:rPr>
          <w:rFonts w:ascii="Arial" w:hAnsi="Arial" w:cs="Arial"/>
          <w:bCs/>
          <w:sz w:val="24"/>
          <w:szCs w:val="24"/>
        </w:rPr>
      </w:pPr>
      <w:r>
        <w:rPr>
          <w:rFonts w:ascii="Arial" w:hAnsi="Arial" w:cs="Arial"/>
          <w:b/>
          <w:sz w:val="24"/>
          <w:szCs w:val="24"/>
        </w:rPr>
        <w:t>6</w:t>
      </w:r>
      <w:r w:rsidR="008A0FA1" w:rsidRPr="008A0FA1">
        <w:rPr>
          <w:rFonts w:ascii="Arial" w:hAnsi="Arial" w:cs="Arial"/>
          <w:b/>
          <w:sz w:val="24"/>
          <w:szCs w:val="24"/>
        </w:rPr>
        <w:t>.1</w:t>
      </w:r>
      <w:r w:rsidR="008A0FA1">
        <w:rPr>
          <w:rFonts w:ascii="Arial" w:hAnsi="Arial" w:cs="Arial"/>
          <w:b/>
          <w:sz w:val="24"/>
          <w:szCs w:val="24"/>
        </w:rPr>
        <w:t xml:space="preserve">. </w:t>
      </w:r>
      <w:r w:rsidR="008A0FA1" w:rsidRPr="008A0FA1">
        <w:rPr>
          <w:rFonts w:ascii="Arial" w:hAnsi="Arial" w:cs="Arial"/>
          <w:bCs/>
          <w:sz w:val="24"/>
          <w:szCs w:val="24"/>
        </w:rPr>
        <w:t>Por razones de interés público y operatividad del servicio, la Municipalidad podrá disponer, por única vez, el otorgamiento de un anticipo financiero al adjudicatario, siempre que el mismo se encontrare debidamente fundado y así lo autorice la autoridad competente.</w:t>
      </w:r>
    </w:p>
    <w:p w14:paraId="4C651792" w14:textId="0448AC3F" w:rsid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Cs/>
          <w:sz w:val="24"/>
          <w:szCs w:val="24"/>
        </w:rPr>
        <w:t>El otorgamiento de dicho anticipo quedará supeditado, en forma previa e ineludible, a la constitución de una garantía a favor de la Municipalidad, mediante la suscripción de un pagaré a la orden de esta, por un monto equivalente al total del anticipo autorizado, el cual tendrá vigencia hasta su íntegra cancelación.</w:t>
      </w:r>
      <w:r w:rsidR="00BC24BC">
        <w:rPr>
          <w:rFonts w:ascii="Arial" w:hAnsi="Arial" w:cs="Arial"/>
          <w:bCs/>
          <w:sz w:val="24"/>
          <w:szCs w:val="24"/>
        </w:rPr>
        <w:t xml:space="preserve"> </w:t>
      </w:r>
      <w:r w:rsidRPr="008A0FA1">
        <w:rPr>
          <w:rFonts w:ascii="Arial" w:hAnsi="Arial" w:cs="Arial"/>
          <w:bCs/>
          <w:sz w:val="24"/>
          <w:szCs w:val="24"/>
        </w:rPr>
        <w:t>El importe del anticipo será descontado de las obligaciones de pago que correspondan al contratista en concepto de contraprestación por el servicio, conforme las liquidaciones mensuales o periódicas que se practiquen, hasta su total amortización.</w:t>
      </w:r>
    </w:p>
    <w:p w14:paraId="785AF896" w14:textId="77777777" w:rsidR="000A68DC" w:rsidRPr="008A0FA1" w:rsidRDefault="000A68DC" w:rsidP="008A0FA1">
      <w:pPr>
        <w:autoSpaceDE w:val="0"/>
        <w:autoSpaceDN w:val="0"/>
        <w:adjustRightInd w:val="0"/>
        <w:spacing w:line="360" w:lineRule="auto"/>
        <w:jc w:val="both"/>
        <w:rPr>
          <w:rFonts w:ascii="Arial" w:hAnsi="Arial" w:cs="Arial"/>
          <w:bCs/>
          <w:sz w:val="24"/>
          <w:szCs w:val="24"/>
        </w:rPr>
      </w:pPr>
    </w:p>
    <w:p w14:paraId="5FC857AA" w14:textId="33237121"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lastRenderedPageBreak/>
        <w:t>OTRAS CONDICIONES</w:t>
      </w:r>
    </w:p>
    <w:p w14:paraId="23D806E0" w14:textId="5BCF9D6E"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adjudicatario se compromete a garantizar la continuidad del servicio sin interrupciones, aun en caso de desperfectos o fallas mecánicas en la maquinaria afectada a la prestación. En tal situación, deberá proceder de forma inmediata a la reparación correspondiente y/o poner a disposición otra máquina de iguales o superiores características técnicas en un plazo </w:t>
      </w:r>
      <w:r w:rsidR="00E77C0D">
        <w:rPr>
          <w:rFonts w:ascii="Arial" w:hAnsi="Arial" w:cs="Arial"/>
          <w:bCs/>
          <w:sz w:val="24"/>
          <w:szCs w:val="24"/>
        </w:rPr>
        <w:t>razonable</w:t>
      </w:r>
      <w:r w:rsidRPr="00633B26">
        <w:rPr>
          <w:rFonts w:ascii="Arial" w:hAnsi="Arial" w:cs="Arial"/>
          <w:bCs/>
          <w:sz w:val="24"/>
          <w:szCs w:val="24"/>
        </w:rPr>
        <w:t>.</w:t>
      </w:r>
    </w:p>
    <w:p w14:paraId="318C8B5A" w14:textId="455FB1E6"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La falta de prestación del servicio por causas imputables al adjudicatario, incluyendo la indisponibilidad de maquinaria, será considerada incumplimiento contractual, habilitando a la Municipalidad a proceder a la rescisión del contrato, según lo establecido en el presente pliego.</w:t>
      </w:r>
    </w:p>
    <w:p w14:paraId="4E641DDA" w14:textId="099AD048" w:rsidR="00074964" w:rsidRPr="00E67059" w:rsidRDefault="00074964" w:rsidP="00E67059">
      <w:pPr>
        <w:pStyle w:val="Prrafodelista"/>
        <w:numPr>
          <w:ilvl w:val="0"/>
          <w:numId w:val="4"/>
        </w:numPr>
        <w:autoSpaceDE w:val="0"/>
        <w:autoSpaceDN w:val="0"/>
        <w:adjustRightInd w:val="0"/>
        <w:spacing w:line="360" w:lineRule="auto"/>
        <w:jc w:val="both"/>
        <w:rPr>
          <w:rFonts w:ascii="Arial" w:hAnsi="Arial" w:cs="Arial"/>
          <w:b/>
          <w:sz w:val="24"/>
          <w:szCs w:val="24"/>
        </w:rPr>
      </w:pPr>
      <w:r w:rsidRPr="00E67059">
        <w:rPr>
          <w:rFonts w:ascii="Arial" w:hAnsi="Arial" w:cs="Arial"/>
          <w:b/>
          <w:sz w:val="24"/>
          <w:szCs w:val="24"/>
        </w:rPr>
        <w:t xml:space="preserve">VERIFICACION DEL EQUIPO </w:t>
      </w:r>
    </w:p>
    <w:p w14:paraId="71DA0A36"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Previo a la adjudicación, la Municipalidad si así lo dispusiera, verificará la maquinaria ofrecida, para lo cual concurrirá al domicilio indicado por el oferente o bien, hará presentar </w:t>
      </w:r>
      <w:r>
        <w:rPr>
          <w:rFonts w:ascii="Arial" w:hAnsi="Arial" w:cs="Arial"/>
          <w:bCs/>
          <w:sz w:val="24"/>
          <w:szCs w:val="24"/>
        </w:rPr>
        <w:t>la maquinaria</w:t>
      </w:r>
      <w:r w:rsidRPr="00633B26">
        <w:rPr>
          <w:rFonts w:ascii="Arial" w:hAnsi="Arial" w:cs="Arial"/>
          <w:bCs/>
          <w:sz w:val="24"/>
          <w:szCs w:val="24"/>
        </w:rPr>
        <w:t xml:space="preserve"> al lugar que oportunamente se indique, reservándose el derecho de solicitarle al Oferente la ejecución de las tareas que estime oportunas para evaluar el comportamiento y rendimiento del vehículo ofrecido. Será desestimada la Oferta en la que el Proponente no cumpla con tal requerimiento en el tiempo y/o de la forma que se establezca para el mismo en el documento que le envíe a la empresa formulando tal solicitud, o si la maquina ofrecida no reuniere las condiciones técnicas solicitadas en este pliego y/o no cumpliere con las indicadas por el Proponente en su Oferta.</w:t>
      </w:r>
    </w:p>
    <w:p w14:paraId="295428AB" w14:textId="2ED8D62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 xml:space="preserve">LUGAR Y CONDICIONES DE </w:t>
      </w:r>
      <w:r w:rsidR="00023E0B" w:rsidRPr="00E67059">
        <w:rPr>
          <w:rFonts w:ascii="Arial" w:hAnsi="Arial" w:cs="Arial"/>
          <w:b/>
          <w:bCs/>
          <w:sz w:val="24"/>
          <w:szCs w:val="24"/>
          <w:lang w:val="es-MX"/>
        </w:rPr>
        <w:t>SERVICIO</w:t>
      </w:r>
    </w:p>
    <w:p w14:paraId="5E6C42D8" w14:textId="770F0626" w:rsidR="00593B16"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w:t>
      </w:r>
      <w:r w:rsidR="00E77C0D">
        <w:rPr>
          <w:rFonts w:ascii="Arial" w:hAnsi="Arial" w:cs="Arial"/>
          <w:sz w:val="24"/>
          <w:szCs w:val="24"/>
          <w:lang w:val="es-MX"/>
        </w:rPr>
        <w:t>servicio</w:t>
      </w:r>
      <w:r w:rsidR="00023E0B">
        <w:rPr>
          <w:rFonts w:ascii="Arial" w:hAnsi="Arial" w:cs="Arial"/>
          <w:sz w:val="24"/>
          <w:szCs w:val="24"/>
          <w:lang w:val="es-MX"/>
        </w:rPr>
        <w:t xml:space="preserve"> deberá estar a completa disposición de</w:t>
      </w:r>
      <w:r w:rsidR="00E77C0D">
        <w:rPr>
          <w:rFonts w:ascii="Arial" w:hAnsi="Arial" w:cs="Arial"/>
          <w:sz w:val="24"/>
          <w:szCs w:val="24"/>
          <w:lang w:val="es-MX"/>
        </w:rPr>
        <w:t xml:space="preserve"> </w:t>
      </w:r>
      <w:r w:rsidR="00023E0B">
        <w:rPr>
          <w:rFonts w:ascii="Arial" w:hAnsi="Arial" w:cs="Arial"/>
          <w:sz w:val="24"/>
          <w:szCs w:val="24"/>
          <w:lang w:val="es-MX"/>
        </w:rPr>
        <w:t>l</w:t>
      </w:r>
      <w:r w:rsidR="00E77C0D">
        <w:rPr>
          <w:rFonts w:ascii="Arial" w:hAnsi="Arial" w:cs="Arial"/>
          <w:sz w:val="24"/>
          <w:szCs w:val="24"/>
          <w:lang w:val="es-MX"/>
        </w:rPr>
        <w:t>a Municipalidad de Orán,</w:t>
      </w:r>
      <w:r w:rsidRPr="001A53BE">
        <w:rPr>
          <w:rFonts w:ascii="Arial" w:hAnsi="Arial" w:cs="Arial"/>
          <w:sz w:val="24"/>
          <w:szCs w:val="24"/>
          <w:lang w:val="es-MX"/>
        </w:rPr>
        <w:t xml:space="preserve"> en el lugar, días y horarios que</w:t>
      </w:r>
      <w:r w:rsidR="00023E0B">
        <w:rPr>
          <w:rFonts w:ascii="Arial" w:hAnsi="Arial" w:cs="Arial"/>
          <w:sz w:val="24"/>
          <w:szCs w:val="24"/>
          <w:lang w:val="es-MX"/>
        </w:rPr>
        <w:t xml:space="preserve"> se le</w:t>
      </w:r>
      <w:r w:rsidRPr="001A53BE">
        <w:rPr>
          <w:rFonts w:ascii="Arial" w:hAnsi="Arial" w:cs="Arial"/>
          <w:sz w:val="24"/>
          <w:szCs w:val="24"/>
          <w:lang w:val="es-MX"/>
        </w:rPr>
        <w:t xml:space="preserve"> indique</w:t>
      </w:r>
      <w:r>
        <w:rPr>
          <w:rFonts w:ascii="Arial" w:hAnsi="Arial" w:cs="Arial"/>
          <w:sz w:val="24"/>
          <w:szCs w:val="24"/>
          <w:lang w:val="es-MX"/>
        </w:rPr>
        <w:t>.</w:t>
      </w:r>
      <w:r w:rsidR="00023E0B">
        <w:rPr>
          <w:rFonts w:ascii="Arial" w:hAnsi="Arial" w:cs="Arial"/>
          <w:sz w:val="24"/>
          <w:szCs w:val="24"/>
          <w:lang w:val="es-MX"/>
        </w:rPr>
        <w:t xml:space="preserve"> Las tareas a prestar serán realizadas en una jornada promedio de10 horas diarias, de lunes a sábado</w:t>
      </w:r>
      <w:r w:rsidR="00E77C0D">
        <w:rPr>
          <w:rFonts w:ascii="Arial" w:hAnsi="Arial" w:cs="Arial"/>
          <w:sz w:val="24"/>
          <w:szCs w:val="24"/>
          <w:lang w:val="es-MX"/>
        </w:rPr>
        <w:t>.</w:t>
      </w:r>
    </w:p>
    <w:p w14:paraId="7A0EB801" w14:textId="1098D406"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t>SANCIONES – APLICACIÓN</w:t>
      </w:r>
    </w:p>
    <w:p w14:paraId="21B5F62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Los oferentes o adjudicatarios serán pasibles a las penalidades que se establecen a continuación por las siguientes causas:</w:t>
      </w:r>
    </w:p>
    <w:p w14:paraId="5CB1E0E8" w14:textId="025B4308"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a) Por desistimiento de oferta</w:t>
      </w:r>
      <w:r w:rsidRPr="00633B26">
        <w:rPr>
          <w:rFonts w:ascii="Arial" w:hAnsi="Arial" w:cs="Arial"/>
          <w:sz w:val="24"/>
          <w:szCs w:val="24"/>
        </w:rPr>
        <w:t xml:space="preserve">: Antes del plazo de mantenimiento de oferta o de constituir la </w:t>
      </w:r>
      <w:r w:rsidR="00E67059" w:rsidRPr="00633B26">
        <w:rPr>
          <w:rFonts w:ascii="Arial" w:hAnsi="Arial" w:cs="Arial"/>
          <w:sz w:val="24"/>
          <w:szCs w:val="24"/>
        </w:rPr>
        <w:t>garantía</w:t>
      </w:r>
      <w:r w:rsidRPr="00633B26">
        <w:rPr>
          <w:rFonts w:ascii="Arial" w:hAnsi="Arial" w:cs="Arial"/>
          <w:sz w:val="24"/>
          <w:szCs w:val="24"/>
        </w:rPr>
        <w:t xml:space="preserve"> de adjudicación, acarreará la pérdida de la garantía de oferta. </w:t>
      </w:r>
    </w:p>
    <w:p w14:paraId="2F0E05D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b) Por no integración de la garantía de adjudicación</w:t>
      </w:r>
      <w:r w:rsidRPr="00633B26">
        <w:rPr>
          <w:rFonts w:ascii="Arial" w:hAnsi="Arial" w:cs="Arial"/>
          <w:sz w:val="24"/>
          <w:szCs w:val="24"/>
        </w:rPr>
        <w:t>: Pérdida de la garantía de la oferta y rechazo de la misma.</w:t>
      </w:r>
    </w:p>
    <w:p w14:paraId="4802CF9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lastRenderedPageBreak/>
        <w:t>c) Por no retiro de la Orden de Cumplimiento:</w:t>
      </w:r>
      <w:r w:rsidRPr="00633B26">
        <w:rPr>
          <w:rFonts w:ascii="Arial" w:hAnsi="Arial" w:cs="Arial"/>
          <w:sz w:val="24"/>
          <w:szCs w:val="24"/>
        </w:rPr>
        <w:t xml:space="preserve"> A partir del cuarto día hábil de la comunicación de adjudicación definitiva, sin que se retire la Orden de Compra, se aplicará una multa diaria del cero veinte por ciento (0,20%) sobre el monto total adjudicado.</w:t>
      </w:r>
    </w:p>
    <w:p w14:paraId="2EE390F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d)</w:t>
      </w:r>
      <w:r w:rsidRPr="00633B26">
        <w:rPr>
          <w:rFonts w:ascii="Arial" w:hAnsi="Arial" w:cs="Arial"/>
          <w:sz w:val="24"/>
          <w:szCs w:val="24"/>
        </w:rPr>
        <w:t xml:space="preserve"> En caso de no retirar la Orden de Compra, dentro de los diez días de emitida, se rescindirá el contrato, se ejecutará la garantía de oferta, y se aplicará la multa prevista en el punto c).</w:t>
      </w:r>
    </w:p>
    <w:p w14:paraId="6B3CAF17" w14:textId="3BE0F425"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 xml:space="preserve">e) Por mora en </w:t>
      </w:r>
      <w:r w:rsidR="00C3715E" w:rsidRPr="00633B26">
        <w:rPr>
          <w:rFonts w:ascii="Arial" w:hAnsi="Arial" w:cs="Arial"/>
          <w:b/>
          <w:bCs/>
          <w:sz w:val="24"/>
          <w:szCs w:val="24"/>
        </w:rPr>
        <w:t>la ejecución contractual</w:t>
      </w:r>
      <w:r w:rsidRPr="00633B26">
        <w:rPr>
          <w:rFonts w:ascii="Arial" w:hAnsi="Arial" w:cs="Arial"/>
          <w:sz w:val="24"/>
          <w:szCs w:val="24"/>
        </w:rPr>
        <w:t>: Se aplicará una multa diaria del cero cincuenta por mil (0,50 %.) sobre el total adjudicado, o proporcional al valor cuya entrega se encuentre demorada, o en su caso, del valor de aquellos bienes que hayan sido rechazados, por cada día de mora en el cumplimiento de los plazos establecidos en la Orden de Compra.</w:t>
      </w:r>
    </w:p>
    <w:p w14:paraId="1215E60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Esta multa se aplicará por el tiempo que determine la entidad contratante, basándose en razones de oportunidad, mérito o conveniencia y hasta un máximo de (10) días corridos. Transcurrido dicho plazo, se procederá a la rescisión del contrato con los daños y perjuicios derivados de la demora más las consecuencias previstas por la Ley 8072 y sus Decretos Reglamentarios.</w:t>
      </w:r>
    </w:p>
    <w:p w14:paraId="6D25E73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f) Por ampliación de plazos</w:t>
      </w:r>
      <w:r w:rsidRPr="00633B26">
        <w:rPr>
          <w:rFonts w:ascii="Arial" w:hAnsi="Arial" w:cs="Arial"/>
          <w:sz w:val="24"/>
          <w:szCs w:val="24"/>
        </w:rPr>
        <w:t>: Cuando se concedan prórrogas de ampliación del plazo de entrega, se aplicará en todos los casos una multa equivalente al cero cincuenta por mil (0,50 %.) del valor de lo satisfecho fuera del término del contrato.</w:t>
      </w:r>
    </w:p>
    <w:p w14:paraId="622418EC"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g) Por incumplimiento contractual</w:t>
      </w:r>
      <w:r w:rsidRPr="00633B26">
        <w:rPr>
          <w:rFonts w:ascii="Arial" w:hAnsi="Arial" w:cs="Arial"/>
          <w:sz w:val="24"/>
          <w:szCs w:val="24"/>
        </w:rPr>
        <w:t>: La rescisión del contrato por incumplimiento de prestaciones, con o sin prorroga concedidas, acarreará la perdida de la garantía de adjudicación y las penalidades previstas en los puntos e) y f) según corresponda. En caso que se hubiesen cumplido parte de las prestaciones, estas quedarán firmes y producirán, en cuanto a ellas, los efectos correspondientes.</w:t>
      </w:r>
    </w:p>
    <w:p w14:paraId="1DDCFDF6"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 rescisión se producirá de pleno derecho y surtirá efectos desde que la parte interesada comunique a la incumplidora, en forma fehaciente, su voluntad de resolver.</w:t>
      </w:r>
    </w:p>
    <w:p w14:paraId="4207933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h) Por cesión de contrato no autorizada</w:t>
      </w:r>
      <w:r w:rsidRPr="00633B26">
        <w:rPr>
          <w:rFonts w:ascii="Arial" w:hAnsi="Arial" w:cs="Arial"/>
          <w:sz w:val="24"/>
          <w:szCs w:val="24"/>
        </w:rPr>
        <w:t>: En caso de cesión de la contratación, pese a la prohibición y efectuada después de la adjudicación, perderá la garantía de adjudicación y será pasible de una multa equivalente al diez por ciento (10%) del total adjudicado.</w:t>
      </w:r>
    </w:p>
    <w:p w14:paraId="5A0DE867" w14:textId="69E5BBA5" w:rsidR="00074964" w:rsidRPr="00633B26" w:rsidRDefault="00E67059" w:rsidP="00074964">
      <w:pPr>
        <w:autoSpaceDE w:val="0"/>
        <w:autoSpaceDN w:val="0"/>
        <w:adjustRightInd w:val="0"/>
        <w:spacing w:line="360" w:lineRule="auto"/>
        <w:jc w:val="both"/>
        <w:rPr>
          <w:rFonts w:ascii="Arial" w:hAnsi="Arial" w:cs="Arial"/>
          <w:sz w:val="24"/>
          <w:szCs w:val="24"/>
        </w:rPr>
      </w:pPr>
      <w:r>
        <w:rPr>
          <w:rFonts w:ascii="Arial" w:hAnsi="Arial" w:cs="Arial"/>
          <w:b/>
          <w:bCs/>
          <w:sz w:val="24"/>
          <w:szCs w:val="24"/>
        </w:rPr>
        <w:t>10</w:t>
      </w:r>
      <w:r w:rsidR="00074964" w:rsidRPr="00633B26">
        <w:rPr>
          <w:rFonts w:ascii="Arial" w:hAnsi="Arial" w:cs="Arial"/>
          <w:b/>
          <w:bCs/>
          <w:sz w:val="24"/>
          <w:szCs w:val="24"/>
        </w:rPr>
        <w:t>.1</w:t>
      </w:r>
      <w:r w:rsidR="00074964" w:rsidRPr="00633B26">
        <w:rPr>
          <w:rFonts w:ascii="Arial" w:hAnsi="Arial" w:cs="Arial"/>
          <w:sz w:val="24"/>
          <w:szCs w:val="24"/>
        </w:rPr>
        <w:t>.- El incumplimiento por parte del Contratista de las obligaciones a su cargo, la hará pasible de sanciones establecidas y de responsabilidad por los daños y perjuicios ocasionados a la Municipalidad, salvo casos de fuerza mayor debidamente comprobados, a juicio de la Municipalidad.</w:t>
      </w:r>
    </w:p>
    <w:p w14:paraId="6299918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lastRenderedPageBreak/>
        <w:t xml:space="preserve">No se considerará caso de fuerza mayor las restricciones fácticas y/o jurídicas que pudieren existir o </w:t>
      </w:r>
      <w:proofErr w:type="spellStart"/>
      <w:r w:rsidRPr="00633B26">
        <w:rPr>
          <w:rFonts w:ascii="Arial" w:hAnsi="Arial" w:cs="Arial"/>
          <w:sz w:val="24"/>
          <w:szCs w:val="24"/>
        </w:rPr>
        <w:t>presentarese</w:t>
      </w:r>
      <w:proofErr w:type="spellEnd"/>
      <w:r w:rsidRPr="00633B26">
        <w:rPr>
          <w:rFonts w:ascii="Arial" w:hAnsi="Arial" w:cs="Arial"/>
          <w:sz w:val="24"/>
          <w:szCs w:val="24"/>
        </w:rPr>
        <w:t xml:space="preserve"> con posterioridad referidas a la comercialización de este tipo de bienes objeto de la licitación. Tampoco se considerará caso de fuerza mayor las demoras de fábrica.</w:t>
      </w:r>
    </w:p>
    <w:p w14:paraId="3871E222"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A los efectos de que la empresa pueda alegar y probar lo que estime conveniente, con respecto a la infracción se le otorgará un plazo perentorio de tres (3) días hábiles del momento de haber sido notificada para las presentaciones y descargos, oídas estas, la Municipalidad, declarará cuál es la sanción que pudiere corresponder en forma definitiva, lo que se notificará al adjudicatario.</w:t>
      </w:r>
    </w:p>
    <w:p w14:paraId="03FCFB43"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Las aludidas presentaciones y descargos, serán presentados en el departamento interviniente de la Municipalidad a fines de su resolución. Una vez firme la sanción de multa, la Municipalidad hará retención de los importes correspondientes del monto a abonar al adjudicatario por la contratación realizada.</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532D9089" w14:textId="77777777" w:rsidR="00E77C0D" w:rsidRDefault="00E77C0D" w:rsidP="00FA3D52">
      <w:pPr>
        <w:spacing w:line="360" w:lineRule="auto"/>
        <w:jc w:val="both"/>
        <w:rPr>
          <w:rFonts w:ascii="Arial" w:hAnsi="Arial" w:cs="Arial"/>
          <w:sz w:val="24"/>
          <w:szCs w:val="24"/>
          <w:lang w:val="es-MX"/>
        </w:rPr>
      </w:pPr>
    </w:p>
    <w:p w14:paraId="4C08879F" w14:textId="77777777" w:rsidR="00E77C0D" w:rsidRDefault="00E77C0D" w:rsidP="00FA3D52">
      <w:pPr>
        <w:spacing w:line="360" w:lineRule="auto"/>
        <w:jc w:val="both"/>
        <w:rPr>
          <w:rFonts w:ascii="Arial" w:hAnsi="Arial" w:cs="Arial"/>
          <w:sz w:val="24"/>
          <w:szCs w:val="24"/>
          <w:lang w:val="es-MX"/>
        </w:rPr>
      </w:pPr>
    </w:p>
    <w:p w14:paraId="4412F7C0" w14:textId="77777777" w:rsidR="000A68DC" w:rsidRDefault="000A68DC" w:rsidP="0073378D">
      <w:pPr>
        <w:spacing w:line="360" w:lineRule="auto"/>
        <w:jc w:val="center"/>
        <w:rPr>
          <w:rFonts w:ascii="Arial" w:hAnsi="Arial" w:cs="Arial"/>
          <w:b/>
          <w:bCs/>
          <w:sz w:val="24"/>
          <w:szCs w:val="24"/>
          <w:u w:val="single"/>
          <w:lang w:val="es-MX"/>
        </w:rPr>
      </w:pPr>
    </w:p>
    <w:p w14:paraId="60B6E012" w14:textId="77777777" w:rsidR="000A68DC" w:rsidRDefault="000A68DC" w:rsidP="0073378D">
      <w:pPr>
        <w:spacing w:line="360" w:lineRule="auto"/>
        <w:jc w:val="center"/>
        <w:rPr>
          <w:rFonts w:ascii="Arial" w:hAnsi="Arial" w:cs="Arial"/>
          <w:b/>
          <w:bCs/>
          <w:sz w:val="24"/>
          <w:szCs w:val="24"/>
          <w:u w:val="single"/>
          <w:lang w:val="es-MX"/>
        </w:rPr>
      </w:pPr>
    </w:p>
    <w:p w14:paraId="567E3D5C" w14:textId="77777777" w:rsidR="000A68DC" w:rsidRDefault="000A68DC" w:rsidP="0073378D">
      <w:pPr>
        <w:spacing w:line="360" w:lineRule="auto"/>
        <w:jc w:val="center"/>
        <w:rPr>
          <w:rFonts w:ascii="Arial" w:hAnsi="Arial" w:cs="Arial"/>
          <w:b/>
          <w:bCs/>
          <w:sz w:val="24"/>
          <w:szCs w:val="24"/>
          <w:u w:val="single"/>
          <w:lang w:val="es-MX"/>
        </w:rPr>
      </w:pPr>
    </w:p>
    <w:p w14:paraId="082E0BBB" w14:textId="77777777" w:rsidR="000A68DC" w:rsidRDefault="000A68DC" w:rsidP="0073378D">
      <w:pPr>
        <w:spacing w:line="360" w:lineRule="auto"/>
        <w:jc w:val="center"/>
        <w:rPr>
          <w:rFonts w:ascii="Arial" w:hAnsi="Arial" w:cs="Arial"/>
          <w:b/>
          <w:bCs/>
          <w:sz w:val="24"/>
          <w:szCs w:val="24"/>
          <w:u w:val="single"/>
          <w:lang w:val="es-MX"/>
        </w:rPr>
      </w:pPr>
    </w:p>
    <w:p w14:paraId="2264542C" w14:textId="77777777" w:rsidR="000A68DC" w:rsidRDefault="000A68DC" w:rsidP="0073378D">
      <w:pPr>
        <w:spacing w:line="360" w:lineRule="auto"/>
        <w:jc w:val="center"/>
        <w:rPr>
          <w:rFonts w:ascii="Arial" w:hAnsi="Arial" w:cs="Arial"/>
          <w:b/>
          <w:bCs/>
          <w:sz w:val="24"/>
          <w:szCs w:val="24"/>
          <w:u w:val="single"/>
          <w:lang w:val="es-MX"/>
        </w:rPr>
      </w:pPr>
    </w:p>
    <w:p w14:paraId="481A3E6A" w14:textId="77777777" w:rsidR="004C346E" w:rsidRDefault="004C346E">
      <w:pPr>
        <w:rPr>
          <w:rFonts w:ascii="Arial" w:hAnsi="Arial" w:cs="Arial"/>
          <w:b/>
          <w:bCs/>
          <w:sz w:val="24"/>
          <w:szCs w:val="24"/>
          <w:u w:val="single"/>
        </w:rPr>
      </w:pPr>
    </w:p>
    <w:p w14:paraId="659EBCDC" w14:textId="3D037131" w:rsidR="00F63EC7" w:rsidRDefault="00F63EC7">
      <w:pPr>
        <w:rPr>
          <w:rFonts w:ascii="Arial" w:hAnsi="Arial" w:cs="Arial"/>
          <w:b/>
          <w:bCs/>
          <w:sz w:val="24"/>
          <w:szCs w:val="24"/>
          <w:u w:val="single"/>
        </w:rPr>
      </w:pPr>
      <w:r w:rsidRPr="00F63EC7">
        <w:rPr>
          <w:rFonts w:ascii="Arial" w:hAnsi="Arial" w:cs="Arial"/>
          <w:b/>
          <w:bCs/>
          <w:sz w:val="24"/>
          <w:szCs w:val="24"/>
          <w:u w:val="single"/>
        </w:rPr>
        <w:t>ANEXO I – PLANILLA DE COTIZACIÓN</w:t>
      </w:r>
      <w:r w:rsidRPr="00F63EC7">
        <w:rPr>
          <w:rFonts w:ascii="Arial" w:hAnsi="Arial" w:cs="Arial"/>
          <w:b/>
          <w:bCs/>
          <w:sz w:val="24"/>
          <w:szCs w:val="24"/>
          <w:u w:val="single"/>
        </w:rPr>
        <w:br/>
        <w:t>(Se adjunta como parte integrante del presente Pliego)</w:t>
      </w:r>
    </w:p>
    <w:p w14:paraId="251F4E16" w14:textId="77777777" w:rsidR="004C346E" w:rsidRDefault="004C346E">
      <w:pPr>
        <w:rPr>
          <w:rFonts w:ascii="Arial" w:hAnsi="Arial" w:cs="Arial"/>
          <w:b/>
          <w:bCs/>
          <w:sz w:val="24"/>
          <w:szCs w:val="24"/>
          <w:u w:val="single"/>
        </w:rPr>
      </w:pPr>
    </w:p>
    <w:tbl>
      <w:tblPr>
        <w:tblStyle w:val="Tablaconcuadrculaclara"/>
        <w:tblW w:w="10673" w:type="dxa"/>
        <w:tblInd w:w="-600" w:type="dxa"/>
        <w:tblLook w:val="04A0" w:firstRow="1" w:lastRow="0" w:firstColumn="1" w:lastColumn="0" w:noHBand="0" w:noVBand="1"/>
      </w:tblPr>
      <w:tblGrid>
        <w:gridCol w:w="1032"/>
        <w:gridCol w:w="4193"/>
        <w:gridCol w:w="1384"/>
        <w:gridCol w:w="1109"/>
        <w:gridCol w:w="1590"/>
        <w:gridCol w:w="1377"/>
      </w:tblGrid>
      <w:tr w:rsidR="00F63EC7" w:rsidRPr="00F63EC7" w14:paraId="2673AA60" w14:textId="77777777" w:rsidTr="004C346E">
        <w:trPr>
          <w:trHeight w:val="646"/>
        </w:trPr>
        <w:tc>
          <w:tcPr>
            <w:tcW w:w="1027" w:type="dxa"/>
            <w:hideMark/>
          </w:tcPr>
          <w:p w14:paraId="2579FD60" w14:textId="77777777" w:rsidR="00F63EC7" w:rsidRPr="004C346E" w:rsidRDefault="00F63EC7" w:rsidP="004C346E">
            <w:pPr>
              <w:jc w:val="center"/>
              <w:rPr>
                <w:rFonts w:ascii="Calibri" w:eastAsia="Times New Roman" w:hAnsi="Calibri" w:cs="Calibri"/>
                <w:b/>
                <w:bCs/>
                <w:lang w:val="es-ES" w:eastAsia="es-ES"/>
              </w:rPr>
            </w:pPr>
            <w:r w:rsidRPr="004C346E">
              <w:rPr>
                <w:rFonts w:ascii="Calibri" w:eastAsia="Times New Roman" w:hAnsi="Calibri" w:cs="Calibri"/>
                <w:b/>
                <w:bCs/>
                <w:sz w:val="24"/>
                <w:szCs w:val="24"/>
                <w:lang w:val="es-ES" w:eastAsia="es-ES"/>
              </w:rPr>
              <w:t>Renglón</w:t>
            </w:r>
          </w:p>
        </w:tc>
        <w:tc>
          <w:tcPr>
            <w:tcW w:w="4193" w:type="dxa"/>
            <w:hideMark/>
          </w:tcPr>
          <w:p w14:paraId="53FA05B8" w14:textId="77777777" w:rsidR="00F63EC7" w:rsidRPr="004C346E" w:rsidRDefault="00F63EC7" w:rsidP="004C346E">
            <w:pPr>
              <w:jc w:val="center"/>
              <w:rPr>
                <w:rFonts w:ascii="Calibri" w:eastAsia="Times New Roman" w:hAnsi="Calibri" w:cs="Calibri"/>
                <w:b/>
                <w:bCs/>
                <w:lang w:val="es-ES" w:eastAsia="es-ES"/>
              </w:rPr>
            </w:pPr>
            <w:r w:rsidRPr="004C346E">
              <w:rPr>
                <w:rFonts w:ascii="Calibri" w:eastAsia="Times New Roman" w:hAnsi="Calibri" w:cs="Calibri"/>
                <w:b/>
                <w:bCs/>
                <w:sz w:val="24"/>
                <w:szCs w:val="24"/>
                <w:lang w:val="es-ES" w:eastAsia="es-ES"/>
              </w:rPr>
              <w:t>Detalles</w:t>
            </w:r>
          </w:p>
        </w:tc>
        <w:tc>
          <w:tcPr>
            <w:tcW w:w="1384" w:type="dxa"/>
            <w:noWrap/>
            <w:hideMark/>
          </w:tcPr>
          <w:p w14:paraId="39BA4660" w14:textId="77777777" w:rsidR="00F63EC7" w:rsidRPr="004C346E" w:rsidRDefault="00F63EC7" w:rsidP="004C346E">
            <w:pPr>
              <w:jc w:val="center"/>
              <w:rPr>
                <w:rFonts w:ascii="Calibri" w:eastAsia="Times New Roman" w:hAnsi="Calibri" w:cs="Calibri"/>
                <w:b/>
                <w:bCs/>
                <w:sz w:val="20"/>
                <w:szCs w:val="20"/>
                <w:lang w:val="es-ES" w:eastAsia="es-ES"/>
              </w:rPr>
            </w:pPr>
            <w:r w:rsidRPr="004C346E">
              <w:rPr>
                <w:rFonts w:ascii="Calibri" w:eastAsia="Times New Roman" w:hAnsi="Calibri" w:cs="Calibri"/>
                <w:b/>
                <w:bCs/>
                <w:lang w:val="es-ES" w:eastAsia="es-ES"/>
              </w:rPr>
              <w:t>Unidad Medida</w:t>
            </w:r>
          </w:p>
        </w:tc>
        <w:tc>
          <w:tcPr>
            <w:tcW w:w="1102" w:type="dxa"/>
            <w:hideMark/>
          </w:tcPr>
          <w:p w14:paraId="3A2AA53F" w14:textId="77777777" w:rsidR="00F63EC7" w:rsidRPr="004C346E" w:rsidRDefault="00F63EC7" w:rsidP="004C346E">
            <w:pPr>
              <w:jc w:val="center"/>
              <w:rPr>
                <w:rFonts w:ascii="Calibri" w:eastAsia="Times New Roman" w:hAnsi="Calibri" w:cs="Calibri"/>
                <w:b/>
                <w:bCs/>
                <w:lang w:val="es-ES" w:eastAsia="es-ES"/>
              </w:rPr>
            </w:pPr>
            <w:r w:rsidRPr="004C346E">
              <w:rPr>
                <w:rFonts w:ascii="Calibri" w:eastAsia="Times New Roman" w:hAnsi="Calibri" w:cs="Calibri"/>
                <w:b/>
                <w:bCs/>
                <w:sz w:val="24"/>
                <w:szCs w:val="24"/>
                <w:lang w:val="es-ES" w:eastAsia="es-ES"/>
              </w:rPr>
              <w:t>Cantidad</w:t>
            </w:r>
          </w:p>
        </w:tc>
        <w:tc>
          <w:tcPr>
            <w:tcW w:w="1590" w:type="dxa"/>
            <w:noWrap/>
            <w:hideMark/>
          </w:tcPr>
          <w:p w14:paraId="11122999" w14:textId="77777777" w:rsidR="00F63EC7" w:rsidRPr="004C346E" w:rsidRDefault="00F63EC7" w:rsidP="004C346E">
            <w:pPr>
              <w:jc w:val="center"/>
              <w:rPr>
                <w:rFonts w:ascii="Calibri" w:eastAsia="Times New Roman" w:hAnsi="Calibri" w:cs="Calibri"/>
                <w:b/>
                <w:bCs/>
                <w:sz w:val="24"/>
                <w:szCs w:val="24"/>
                <w:lang w:val="es-ES" w:eastAsia="es-ES"/>
              </w:rPr>
            </w:pPr>
            <w:r w:rsidRPr="004C346E">
              <w:rPr>
                <w:rFonts w:ascii="Calibri" w:eastAsia="Times New Roman" w:hAnsi="Calibri" w:cs="Calibri"/>
                <w:b/>
                <w:bCs/>
                <w:sz w:val="24"/>
                <w:szCs w:val="24"/>
                <w:lang w:val="es-ES" w:eastAsia="es-ES"/>
              </w:rPr>
              <w:t>Precio Unitario</w:t>
            </w:r>
          </w:p>
        </w:tc>
        <w:tc>
          <w:tcPr>
            <w:tcW w:w="1377" w:type="dxa"/>
            <w:hideMark/>
          </w:tcPr>
          <w:p w14:paraId="00D27F8B" w14:textId="77777777" w:rsidR="00F63EC7" w:rsidRPr="004C346E" w:rsidRDefault="00F63EC7" w:rsidP="004C346E">
            <w:pPr>
              <w:jc w:val="center"/>
              <w:rPr>
                <w:rFonts w:ascii="Calibri" w:eastAsia="Times New Roman" w:hAnsi="Calibri" w:cs="Calibri"/>
                <w:b/>
                <w:bCs/>
                <w:sz w:val="24"/>
                <w:szCs w:val="24"/>
                <w:lang w:val="es-ES" w:eastAsia="es-ES"/>
              </w:rPr>
            </w:pPr>
            <w:r w:rsidRPr="004C346E">
              <w:rPr>
                <w:rFonts w:ascii="Calibri" w:eastAsia="Times New Roman" w:hAnsi="Calibri" w:cs="Calibri"/>
                <w:b/>
                <w:bCs/>
                <w:sz w:val="24"/>
                <w:szCs w:val="24"/>
                <w:lang w:val="es-ES" w:eastAsia="es-ES"/>
              </w:rPr>
              <w:t>Precio Total</w:t>
            </w:r>
          </w:p>
        </w:tc>
      </w:tr>
      <w:tr w:rsidR="00F63EC7" w:rsidRPr="00F63EC7" w14:paraId="131A972A" w14:textId="77777777" w:rsidTr="004C346E">
        <w:trPr>
          <w:trHeight w:val="300"/>
        </w:trPr>
        <w:tc>
          <w:tcPr>
            <w:tcW w:w="1027" w:type="dxa"/>
            <w:noWrap/>
            <w:hideMark/>
          </w:tcPr>
          <w:p w14:paraId="3E5BE52A" w14:textId="77777777" w:rsidR="00F63EC7" w:rsidRPr="00F63EC7" w:rsidRDefault="00F63EC7" w:rsidP="00F63EC7">
            <w:pPr>
              <w:jc w:val="center"/>
              <w:rPr>
                <w:rFonts w:ascii="Calibri" w:eastAsia="Times New Roman" w:hAnsi="Calibri" w:cs="Calibri"/>
                <w:b/>
                <w:bCs/>
                <w:color w:val="000000"/>
                <w:lang w:val="es-ES" w:eastAsia="es-ES"/>
              </w:rPr>
            </w:pPr>
            <w:r w:rsidRPr="00F63EC7">
              <w:rPr>
                <w:rFonts w:ascii="Calibri" w:eastAsia="Times New Roman" w:hAnsi="Calibri" w:cs="Calibri"/>
                <w:b/>
                <w:bCs/>
                <w:color w:val="000000"/>
                <w:lang w:val="es-ES" w:eastAsia="es-ES"/>
              </w:rPr>
              <w:t>1</w:t>
            </w:r>
          </w:p>
        </w:tc>
        <w:tc>
          <w:tcPr>
            <w:tcW w:w="4193" w:type="dxa"/>
            <w:noWrap/>
            <w:hideMark/>
          </w:tcPr>
          <w:p w14:paraId="66735BC0" w14:textId="77777777" w:rsidR="00F63EC7" w:rsidRPr="00F63EC7" w:rsidRDefault="00F63EC7" w:rsidP="00F63EC7">
            <w:pP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 xml:space="preserve">Pintura Vial Blanco x 20L </w:t>
            </w:r>
          </w:p>
        </w:tc>
        <w:tc>
          <w:tcPr>
            <w:tcW w:w="1384" w:type="dxa"/>
            <w:noWrap/>
            <w:hideMark/>
          </w:tcPr>
          <w:p w14:paraId="7293D506" w14:textId="77777777" w:rsidR="00F63EC7" w:rsidRPr="00F63EC7" w:rsidRDefault="00F63EC7" w:rsidP="00F63EC7">
            <w:pPr>
              <w:jc w:val="center"/>
              <w:rPr>
                <w:rFonts w:ascii="Calibri" w:eastAsia="Times New Roman" w:hAnsi="Calibri" w:cs="Calibri"/>
                <w:color w:val="000000"/>
                <w:lang w:val="es-ES" w:eastAsia="es-ES"/>
              </w:rPr>
            </w:pPr>
            <w:r w:rsidRPr="00F63EC7">
              <w:rPr>
                <w:rFonts w:ascii="Calibri" w:eastAsia="Times New Roman" w:hAnsi="Calibri" w:cs="Calibri"/>
                <w:color w:val="000000"/>
                <w:lang w:val="es-ES" w:eastAsia="es-ES"/>
              </w:rPr>
              <w:t>Litros</w:t>
            </w:r>
          </w:p>
        </w:tc>
        <w:tc>
          <w:tcPr>
            <w:tcW w:w="1102" w:type="dxa"/>
            <w:noWrap/>
            <w:hideMark/>
          </w:tcPr>
          <w:p w14:paraId="2C60462F" w14:textId="77777777" w:rsidR="00F63EC7" w:rsidRPr="00F63EC7" w:rsidRDefault="00F63EC7" w:rsidP="00F63EC7">
            <w:pPr>
              <w:jc w:val="cente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20</w:t>
            </w:r>
          </w:p>
        </w:tc>
        <w:tc>
          <w:tcPr>
            <w:tcW w:w="1590" w:type="dxa"/>
            <w:noWrap/>
            <w:hideMark/>
          </w:tcPr>
          <w:p w14:paraId="04714E6C" w14:textId="77777777" w:rsidR="00F63EC7" w:rsidRPr="00F63EC7" w:rsidRDefault="00F63EC7" w:rsidP="00F63EC7">
            <w:pPr>
              <w:jc w:val="center"/>
              <w:rPr>
                <w:rFonts w:ascii="Calibri" w:eastAsia="Times New Roman" w:hAnsi="Calibri" w:cs="Calibri"/>
                <w:b/>
                <w:bCs/>
                <w:color w:val="000000"/>
                <w:sz w:val="24"/>
                <w:szCs w:val="24"/>
                <w:lang w:val="es-ES" w:eastAsia="es-ES"/>
              </w:rPr>
            </w:pPr>
          </w:p>
        </w:tc>
        <w:tc>
          <w:tcPr>
            <w:tcW w:w="1377" w:type="dxa"/>
            <w:noWrap/>
            <w:hideMark/>
          </w:tcPr>
          <w:p w14:paraId="09DA3471" w14:textId="77777777" w:rsidR="00F63EC7" w:rsidRPr="00F63EC7" w:rsidRDefault="00F63EC7" w:rsidP="00F63EC7">
            <w:pPr>
              <w:jc w:val="center"/>
              <w:rPr>
                <w:rFonts w:ascii="Times New Roman" w:eastAsia="Times New Roman" w:hAnsi="Times New Roman" w:cs="Times New Roman"/>
                <w:sz w:val="20"/>
                <w:szCs w:val="20"/>
                <w:lang w:val="es-ES" w:eastAsia="es-ES"/>
              </w:rPr>
            </w:pPr>
          </w:p>
        </w:tc>
      </w:tr>
      <w:tr w:rsidR="00F63EC7" w:rsidRPr="00F63EC7" w14:paraId="1D8192F3" w14:textId="77777777" w:rsidTr="004C346E">
        <w:trPr>
          <w:trHeight w:val="300"/>
        </w:trPr>
        <w:tc>
          <w:tcPr>
            <w:tcW w:w="1027" w:type="dxa"/>
            <w:noWrap/>
            <w:hideMark/>
          </w:tcPr>
          <w:p w14:paraId="7E25DE00" w14:textId="77777777" w:rsidR="00F63EC7" w:rsidRPr="00F63EC7" w:rsidRDefault="00F63EC7" w:rsidP="00F63EC7">
            <w:pPr>
              <w:jc w:val="center"/>
              <w:rPr>
                <w:rFonts w:ascii="Calibri" w:eastAsia="Times New Roman" w:hAnsi="Calibri" w:cs="Calibri"/>
                <w:b/>
                <w:bCs/>
                <w:color w:val="000000"/>
                <w:lang w:val="es-ES" w:eastAsia="es-ES"/>
              </w:rPr>
            </w:pPr>
            <w:r w:rsidRPr="00F63EC7">
              <w:rPr>
                <w:rFonts w:ascii="Calibri" w:eastAsia="Times New Roman" w:hAnsi="Calibri" w:cs="Calibri"/>
                <w:b/>
                <w:bCs/>
                <w:color w:val="000000"/>
                <w:lang w:val="es-ES" w:eastAsia="es-ES"/>
              </w:rPr>
              <w:t>2</w:t>
            </w:r>
          </w:p>
        </w:tc>
        <w:tc>
          <w:tcPr>
            <w:tcW w:w="4193" w:type="dxa"/>
            <w:noWrap/>
            <w:hideMark/>
          </w:tcPr>
          <w:p w14:paraId="0DC2AB9A" w14:textId="77777777" w:rsidR="00F63EC7" w:rsidRPr="00F63EC7" w:rsidRDefault="00F63EC7" w:rsidP="00F63EC7">
            <w:pP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Diluyente p/ pintura vial</w:t>
            </w:r>
          </w:p>
        </w:tc>
        <w:tc>
          <w:tcPr>
            <w:tcW w:w="1384" w:type="dxa"/>
            <w:noWrap/>
            <w:hideMark/>
          </w:tcPr>
          <w:p w14:paraId="003DE155" w14:textId="77777777" w:rsidR="00F63EC7" w:rsidRPr="00F63EC7" w:rsidRDefault="00F63EC7" w:rsidP="00F63EC7">
            <w:pPr>
              <w:jc w:val="center"/>
              <w:rPr>
                <w:rFonts w:ascii="Calibri" w:eastAsia="Times New Roman" w:hAnsi="Calibri" w:cs="Calibri"/>
                <w:color w:val="000000"/>
                <w:lang w:val="es-ES" w:eastAsia="es-ES"/>
              </w:rPr>
            </w:pPr>
            <w:r w:rsidRPr="00F63EC7">
              <w:rPr>
                <w:rFonts w:ascii="Calibri" w:eastAsia="Times New Roman" w:hAnsi="Calibri" w:cs="Calibri"/>
                <w:color w:val="000000"/>
                <w:lang w:val="es-ES" w:eastAsia="es-ES"/>
              </w:rPr>
              <w:t>Litros</w:t>
            </w:r>
          </w:p>
        </w:tc>
        <w:tc>
          <w:tcPr>
            <w:tcW w:w="1102" w:type="dxa"/>
            <w:noWrap/>
            <w:hideMark/>
          </w:tcPr>
          <w:p w14:paraId="60FA17B3" w14:textId="77777777" w:rsidR="00F63EC7" w:rsidRPr="00F63EC7" w:rsidRDefault="00F63EC7" w:rsidP="00F63EC7">
            <w:pPr>
              <w:jc w:val="cente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100</w:t>
            </w:r>
          </w:p>
        </w:tc>
        <w:tc>
          <w:tcPr>
            <w:tcW w:w="1590" w:type="dxa"/>
            <w:noWrap/>
            <w:hideMark/>
          </w:tcPr>
          <w:p w14:paraId="756C131B" w14:textId="77777777" w:rsidR="00F63EC7" w:rsidRPr="00F63EC7" w:rsidRDefault="00F63EC7" w:rsidP="00F63EC7">
            <w:pPr>
              <w:jc w:val="center"/>
              <w:rPr>
                <w:rFonts w:ascii="Calibri" w:eastAsia="Times New Roman" w:hAnsi="Calibri" w:cs="Calibri"/>
                <w:b/>
                <w:bCs/>
                <w:color w:val="000000"/>
                <w:sz w:val="24"/>
                <w:szCs w:val="24"/>
                <w:lang w:val="es-ES" w:eastAsia="es-ES"/>
              </w:rPr>
            </w:pPr>
          </w:p>
        </w:tc>
        <w:tc>
          <w:tcPr>
            <w:tcW w:w="1377" w:type="dxa"/>
            <w:noWrap/>
            <w:hideMark/>
          </w:tcPr>
          <w:p w14:paraId="4E25DC4F" w14:textId="77777777" w:rsidR="00F63EC7" w:rsidRPr="00F63EC7" w:rsidRDefault="00F63EC7" w:rsidP="00F63EC7">
            <w:pPr>
              <w:jc w:val="center"/>
              <w:rPr>
                <w:rFonts w:ascii="Times New Roman" w:eastAsia="Times New Roman" w:hAnsi="Times New Roman" w:cs="Times New Roman"/>
                <w:sz w:val="20"/>
                <w:szCs w:val="20"/>
                <w:lang w:val="es-ES" w:eastAsia="es-ES"/>
              </w:rPr>
            </w:pPr>
          </w:p>
        </w:tc>
      </w:tr>
      <w:tr w:rsidR="00F63EC7" w:rsidRPr="00F63EC7" w14:paraId="1C0A2492" w14:textId="77777777" w:rsidTr="004C346E">
        <w:trPr>
          <w:trHeight w:val="300"/>
        </w:trPr>
        <w:tc>
          <w:tcPr>
            <w:tcW w:w="1027" w:type="dxa"/>
            <w:noWrap/>
            <w:hideMark/>
          </w:tcPr>
          <w:p w14:paraId="0EEF3C5D" w14:textId="77777777" w:rsidR="00F63EC7" w:rsidRPr="00F63EC7" w:rsidRDefault="00F63EC7" w:rsidP="00F63EC7">
            <w:pPr>
              <w:jc w:val="center"/>
              <w:rPr>
                <w:rFonts w:ascii="Calibri" w:eastAsia="Times New Roman" w:hAnsi="Calibri" w:cs="Calibri"/>
                <w:b/>
                <w:bCs/>
                <w:color w:val="000000"/>
                <w:lang w:val="es-ES" w:eastAsia="es-ES"/>
              </w:rPr>
            </w:pPr>
            <w:r w:rsidRPr="00F63EC7">
              <w:rPr>
                <w:rFonts w:ascii="Calibri" w:eastAsia="Times New Roman" w:hAnsi="Calibri" w:cs="Calibri"/>
                <w:b/>
                <w:bCs/>
                <w:color w:val="000000"/>
                <w:lang w:val="es-ES" w:eastAsia="es-ES"/>
              </w:rPr>
              <w:t>3</w:t>
            </w:r>
          </w:p>
        </w:tc>
        <w:tc>
          <w:tcPr>
            <w:tcW w:w="4193" w:type="dxa"/>
            <w:noWrap/>
            <w:hideMark/>
          </w:tcPr>
          <w:p w14:paraId="0AEB6539" w14:textId="77777777" w:rsidR="00F63EC7" w:rsidRPr="00F63EC7" w:rsidRDefault="00F63EC7" w:rsidP="00F63EC7">
            <w:pP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Rodillo de fibra N° 17</w:t>
            </w:r>
          </w:p>
        </w:tc>
        <w:tc>
          <w:tcPr>
            <w:tcW w:w="1384" w:type="dxa"/>
            <w:noWrap/>
            <w:hideMark/>
          </w:tcPr>
          <w:p w14:paraId="03970058" w14:textId="77777777" w:rsidR="00F63EC7" w:rsidRPr="00F63EC7" w:rsidRDefault="00F63EC7" w:rsidP="00F63EC7">
            <w:pPr>
              <w:jc w:val="center"/>
              <w:rPr>
                <w:rFonts w:ascii="Calibri" w:eastAsia="Times New Roman" w:hAnsi="Calibri" w:cs="Calibri"/>
                <w:color w:val="000000"/>
                <w:lang w:val="es-ES" w:eastAsia="es-ES"/>
              </w:rPr>
            </w:pPr>
            <w:r w:rsidRPr="00F63EC7">
              <w:rPr>
                <w:rFonts w:ascii="Calibri" w:eastAsia="Times New Roman" w:hAnsi="Calibri" w:cs="Calibri"/>
                <w:color w:val="000000"/>
                <w:lang w:val="es-ES" w:eastAsia="es-ES"/>
              </w:rPr>
              <w:t xml:space="preserve">Unidad </w:t>
            </w:r>
          </w:p>
        </w:tc>
        <w:tc>
          <w:tcPr>
            <w:tcW w:w="1102" w:type="dxa"/>
            <w:noWrap/>
            <w:hideMark/>
          </w:tcPr>
          <w:p w14:paraId="52F4F221" w14:textId="77777777" w:rsidR="00F63EC7" w:rsidRPr="00F63EC7" w:rsidRDefault="00F63EC7" w:rsidP="00F63EC7">
            <w:pPr>
              <w:jc w:val="cente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10</w:t>
            </w:r>
          </w:p>
        </w:tc>
        <w:tc>
          <w:tcPr>
            <w:tcW w:w="1590" w:type="dxa"/>
            <w:noWrap/>
            <w:hideMark/>
          </w:tcPr>
          <w:p w14:paraId="19F9C4BE" w14:textId="77777777" w:rsidR="00F63EC7" w:rsidRPr="00F63EC7" w:rsidRDefault="00F63EC7" w:rsidP="00F63EC7">
            <w:pPr>
              <w:jc w:val="center"/>
              <w:rPr>
                <w:rFonts w:ascii="Calibri" w:eastAsia="Times New Roman" w:hAnsi="Calibri" w:cs="Calibri"/>
                <w:b/>
                <w:bCs/>
                <w:color w:val="000000"/>
                <w:sz w:val="24"/>
                <w:szCs w:val="24"/>
                <w:lang w:val="es-ES" w:eastAsia="es-ES"/>
              </w:rPr>
            </w:pPr>
          </w:p>
        </w:tc>
        <w:tc>
          <w:tcPr>
            <w:tcW w:w="1377" w:type="dxa"/>
            <w:noWrap/>
            <w:hideMark/>
          </w:tcPr>
          <w:p w14:paraId="1DFD5DF4" w14:textId="77777777" w:rsidR="00F63EC7" w:rsidRPr="00F63EC7" w:rsidRDefault="00F63EC7" w:rsidP="00F63EC7">
            <w:pPr>
              <w:jc w:val="center"/>
              <w:rPr>
                <w:rFonts w:ascii="Times New Roman" w:eastAsia="Times New Roman" w:hAnsi="Times New Roman" w:cs="Times New Roman"/>
                <w:sz w:val="20"/>
                <w:szCs w:val="20"/>
                <w:lang w:val="es-ES" w:eastAsia="es-ES"/>
              </w:rPr>
            </w:pPr>
          </w:p>
        </w:tc>
      </w:tr>
      <w:tr w:rsidR="00F63EC7" w:rsidRPr="00F63EC7" w14:paraId="558CA9E4" w14:textId="77777777" w:rsidTr="004C346E">
        <w:trPr>
          <w:trHeight w:val="300"/>
        </w:trPr>
        <w:tc>
          <w:tcPr>
            <w:tcW w:w="1027" w:type="dxa"/>
            <w:noWrap/>
            <w:hideMark/>
          </w:tcPr>
          <w:p w14:paraId="4C29C117" w14:textId="77777777" w:rsidR="00F63EC7" w:rsidRPr="00F63EC7" w:rsidRDefault="00F63EC7" w:rsidP="00F63EC7">
            <w:pPr>
              <w:jc w:val="center"/>
              <w:rPr>
                <w:rFonts w:ascii="Calibri" w:eastAsia="Times New Roman" w:hAnsi="Calibri" w:cs="Calibri"/>
                <w:b/>
                <w:bCs/>
                <w:color w:val="000000"/>
                <w:lang w:val="es-ES" w:eastAsia="es-ES"/>
              </w:rPr>
            </w:pPr>
            <w:r w:rsidRPr="00F63EC7">
              <w:rPr>
                <w:rFonts w:ascii="Calibri" w:eastAsia="Times New Roman" w:hAnsi="Calibri" w:cs="Calibri"/>
                <w:b/>
                <w:bCs/>
                <w:color w:val="000000"/>
                <w:lang w:val="es-ES" w:eastAsia="es-ES"/>
              </w:rPr>
              <w:t>4</w:t>
            </w:r>
          </w:p>
        </w:tc>
        <w:tc>
          <w:tcPr>
            <w:tcW w:w="4193" w:type="dxa"/>
            <w:noWrap/>
            <w:hideMark/>
          </w:tcPr>
          <w:p w14:paraId="78E17734" w14:textId="77777777" w:rsidR="00F63EC7" w:rsidRPr="00F63EC7" w:rsidRDefault="00F63EC7" w:rsidP="00F63EC7">
            <w:pP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Pincel calidad extra cerda blanca N° 30</w:t>
            </w:r>
          </w:p>
        </w:tc>
        <w:tc>
          <w:tcPr>
            <w:tcW w:w="1384" w:type="dxa"/>
            <w:noWrap/>
            <w:hideMark/>
          </w:tcPr>
          <w:p w14:paraId="7CA6FCA6" w14:textId="77777777" w:rsidR="00F63EC7" w:rsidRPr="00F63EC7" w:rsidRDefault="00F63EC7" w:rsidP="00F63EC7">
            <w:pPr>
              <w:jc w:val="center"/>
              <w:rPr>
                <w:rFonts w:ascii="Calibri" w:eastAsia="Times New Roman" w:hAnsi="Calibri" w:cs="Calibri"/>
                <w:color w:val="000000"/>
                <w:lang w:val="es-ES" w:eastAsia="es-ES"/>
              </w:rPr>
            </w:pPr>
            <w:r w:rsidRPr="00F63EC7">
              <w:rPr>
                <w:rFonts w:ascii="Calibri" w:eastAsia="Times New Roman" w:hAnsi="Calibri" w:cs="Calibri"/>
                <w:color w:val="000000"/>
                <w:lang w:val="es-ES" w:eastAsia="es-ES"/>
              </w:rPr>
              <w:t xml:space="preserve">Unidad </w:t>
            </w:r>
          </w:p>
        </w:tc>
        <w:tc>
          <w:tcPr>
            <w:tcW w:w="1102" w:type="dxa"/>
            <w:noWrap/>
            <w:hideMark/>
          </w:tcPr>
          <w:p w14:paraId="2D3768C3" w14:textId="77777777" w:rsidR="00F63EC7" w:rsidRPr="00F63EC7" w:rsidRDefault="00F63EC7" w:rsidP="00F63EC7">
            <w:pPr>
              <w:jc w:val="cente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10</w:t>
            </w:r>
          </w:p>
        </w:tc>
        <w:tc>
          <w:tcPr>
            <w:tcW w:w="1590" w:type="dxa"/>
            <w:noWrap/>
            <w:hideMark/>
          </w:tcPr>
          <w:p w14:paraId="41BACF71" w14:textId="77777777" w:rsidR="00F63EC7" w:rsidRPr="00F63EC7" w:rsidRDefault="00F63EC7" w:rsidP="00F63EC7">
            <w:pPr>
              <w:jc w:val="center"/>
              <w:rPr>
                <w:rFonts w:ascii="Calibri" w:eastAsia="Times New Roman" w:hAnsi="Calibri" w:cs="Calibri"/>
                <w:b/>
                <w:bCs/>
                <w:color w:val="000000"/>
                <w:sz w:val="24"/>
                <w:szCs w:val="24"/>
                <w:lang w:val="es-ES" w:eastAsia="es-ES"/>
              </w:rPr>
            </w:pPr>
          </w:p>
        </w:tc>
        <w:tc>
          <w:tcPr>
            <w:tcW w:w="1377" w:type="dxa"/>
            <w:noWrap/>
            <w:hideMark/>
          </w:tcPr>
          <w:p w14:paraId="36B4EA48" w14:textId="77777777" w:rsidR="00F63EC7" w:rsidRPr="00F63EC7" w:rsidRDefault="00F63EC7" w:rsidP="00F63EC7">
            <w:pPr>
              <w:jc w:val="center"/>
              <w:rPr>
                <w:rFonts w:ascii="Times New Roman" w:eastAsia="Times New Roman" w:hAnsi="Times New Roman" w:cs="Times New Roman"/>
                <w:sz w:val="20"/>
                <w:szCs w:val="20"/>
                <w:lang w:val="es-ES" w:eastAsia="es-ES"/>
              </w:rPr>
            </w:pPr>
          </w:p>
        </w:tc>
      </w:tr>
      <w:tr w:rsidR="00F63EC7" w:rsidRPr="00F63EC7" w14:paraId="5B629C53" w14:textId="77777777" w:rsidTr="004C346E">
        <w:trPr>
          <w:trHeight w:val="300"/>
        </w:trPr>
        <w:tc>
          <w:tcPr>
            <w:tcW w:w="1027" w:type="dxa"/>
            <w:noWrap/>
            <w:hideMark/>
          </w:tcPr>
          <w:p w14:paraId="105E7296" w14:textId="77777777" w:rsidR="00F63EC7" w:rsidRPr="00F63EC7" w:rsidRDefault="00F63EC7" w:rsidP="00F63EC7">
            <w:pPr>
              <w:jc w:val="center"/>
              <w:rPr>
                <w:rFonts w:ascii="Calibri" w:eastAsia="Times New Roman" w:hAnsi="Calibri" w:cs="Calibri"/>
                <w:b/>
                <w:bCs/>
                <w:color w:val="000000"/>
                <w:lang w:val="es-ES" w:eastAsia="es-ES"/>
              </w:rPr>
            </w:pPr>
            <w:r w:rsidRPr="00F63EC7">
              <w:rPr>
                <w:rFonts w:ascii="Calibri" w:eastAsia="Times New Roman" w:hAnsi="Calibri" w:cs="Calibri"/>
                <w:b/>
                <w:bCs/>
                <w:color w:val="000000"/>
                <w:lang w:val="es-ES" w:eastAsia="es-ES"/>
              </w:rPr>
              <w:t>5</w:t>
            </w:r>
          </w:p>
        </w:tc>
        <w:tc>
          <w:tcPr>
            <w:tcW w:w="4193" w:type="dxa"/>
            <w:noWrap/>
            <w:hideMark/>
          </w:tcPr>
          <w:p w14:paraId="125EA768" w14:textId="25C77D47" w:rsidR="00F63EC7" w:rsidRPr="00F63EC7" w:rsidRDefault="00F63EC7" w:rsidP="00F63EC7">
            <w:pP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Pintura sintética azul x litro</w:t>
            </w:r>
          </w:p>
        </w:tc>
        <w:tc>
          <w:tcPr>
            <w:tcW w:w="1384" w:type="dxa"/>
            <w:noWrap/>
            <w:hideMark/>
          </w:tcPr>
          <w:p w14:paraId="5448FC20" w14:textId="77777777" w:rsidR="00F63EC7" w:rsidRPr="00F63EC7" w:rsidRDefault="00F63EC7" w:rsidP="00F63EC7">
            <w:pPr>
              <w:jc w:val="center"/>
              <w:rPr>
                <w:rFonts w:ascii="Calibri" w:eastAsia="Times New Roman" w:hAnsi="Calibri" w:cs="Calibri"/>
                <w:color w:val="000000"/>
                <w:lang w:val="es-ES" w:eastAsia="es-ES"/>
              </w:rPr>
            </w:pPr>
            <w:r w:rsidRPr="00F63EC7">
              <w:rPr>
                <w:rFonts w:ascii="Calibri" w:eastAsia="Times New Roman" w:hAnsi="Calibri" w:cs="Calibri"/>
                <w:color w:val="000000"/>
                <w:lang w:val="es-ES" w:eastAsia="es-ES"/>
              </w:rPr>
              <w:t xml:space="preserve">Unidad </w:t>
            </w:r>
          </w:p>
        </w:tc>
        <w:tc>
          <w:tcPr>
            <w:tcW w:w="1102" w:type="dxa"/>
            <w:noWrap/>
            <w:hideMark/>
          </w:tcPr>
          <w:p w14:paraId="0EFD2C13" w14:textId="77777777" w:rsidR="00F63EC7" w:rsidRPr="00F63EC7" w:rsidRDefault="00F63EC7" w:rsidP="00F63EC7">
            <w:pPr>
              <w:jc w:val="cente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20</w:t>
            </w:r>
          </w:p>
        </w:tc>
        <w:tc>
          <w:tcPr>
            <w:tcW w:w="1590" w:type="dxa"/>
            <w:noWrap/>
            <w:hideMark/>
          </w:tcPr>
          <w:p w14:paraId="21907D37" w14:textId="77777777" w:rsidR="00F63EC7" w:rsidRPr="00F63EC7" w:rsidRDefault="00F63EC7" w:rsidP="00F63EC7">
            <w:pPr>
              <w:jc w:val="center"/>
              <w:rPr>
                <w:rFonts w:ascii="Calibri" w:eastAsia="Times New Roman" w:hAnsi="Calibri" w:cs="Calibri"/>
                <w:b/>
                <w:bCs/>
                <w:color w:val="000000"/>
                <w:sz w:val="24"/>
                <w:szCs w:val="24"/>
                <w:lang w:val="es-ES" w:eastAsia="es-ES"/>
              </w:rPr>
            </w:pPr>
          </w:p>
        </w:tc>
        <w:tc>
          <w:tcPr>
            <w:tcW w:w="1377" w:type="dxa"/>
            <w:noWrap/>
            <w:hideMark/>
          </w:tcPr>
          <w:p w14:paraId="3F20762E" w14:textId="77777777" w:rsidR="00F63EC7" w:rsidRPr="00F63EC7" w:rsidRDefault="00F63EC7" w:rsidP="00F63EC7">
            <w:pPr>
              <w:jc w:val="center"/>
              <w:rPr>
                <w:rFonts w:ascii="Times New Roman" w:eastAsia="Times New Roman" w:hAnsi="Times New Roman" w:cs="Times New Roman"/>
                <w:sz w:val="20"/>
                <w:szCs w:val="20"/>
                <w:lang w:val="es-ES" w:eastAsia="es-ES"/>
              </w:rPr>
            </w:pPr>
          </w:p>
        </w:tc>
      </w:tr>
      <w:tr w:rsidR="00F63EC7" w:rsidRPr="00F63EC7" w14:paraId="4EE92FF1" w14:textId="77777777" w:rsidTr="004C346E">
        <w:trPr>
          <w:trHeight w:val="300"/>
        </w:trPr>
        <w:tc>
          <w:tcPr>
            <w:tcW w:w="1027" w:type="dxa"/>
            <w:noWrap/>
            <w:hideMark/>
          </w:tcPr>
          <w:p w14:paraId="7113FF48" w14:textId="77777777" w:rsidR="00F63EC7" w:rsidRPr="00F63EC7" w:rsidRDefault="00F63EC7" w:rsidP="00F63EC7">
            <w:pPr>
              <w:jc w:val="center"/>
              <w:rPr>
                <w:rFonts w:ascii="Calibri" w:eastAsia="Times New Roman" w:hAnsi="Calibri" w:cs="Calibri"/>
                <w:b/>
                <w:bCs/>
                <w:color w:val="000000"/>
                <w:lang w:val="es-ES" w:eastAsia="es-ES"/>
              </w:rPr>
            </w:pPr>
            <w:r w:rsidRPr="00F63EC7">
              <w:rPr>
                <w:rFonts w:ascii="Calibri" w:eastAsia="Times New Roman" w:hAnsi="Calibri" w:cs="Calibri"/>
                <w:b/>
                <w:bCs/>
                <w:color w:val="000000"/>
                <w:lang w:val="es-ES" w:eastAsia="es-ES"/>
              </w:rPr>
              <w:t>6</w:t>
            </w:r>
          </w:p>
        </w:tc>
        <w:tc>
          <w:tcPr>
            <w:tcW w:w="4193" w:type="dxa"/>
            <w:noWrap/>
            <w:hideMark/>
          </w:tcPr>
          <w:p w14:paraId="273552E9" w14:textId="77777777" w:rsidR="00F63EC7" w:rsidRPr="00F63EC7" w:rsidRDefault="00F63EC7" w:rsidP="00F63EC7">
            <w:pP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Micro esfera de vidrio p/pintura vial</w:t>
            </w:r>
          </w:p>
        </w:tc>
        <w:tc>
          <w:tcPr>
            <w:tcW w:w="1384" w:type="dxa"/>
            <w:noWrap/>
            <w:hideMark/>
          </w:tcPr>
          <w:p w14:paraId="43BA81E5" w14:textId="7BD099F6" w:rsidR="00F63EC7" w:rsidRPr="00F63EC7" w:rsidRDefault="00F63EC7" w:rsidP="00F63EC7">
            <w:pPr>
              <w:jc w:val="center"/>
              <w:rPr>
                <w:rFonts w:ascii="Calibri" w:eastAsia="Times New Roman" w:hAnsi="Calibri" w:cs="Calibri"/>
                <w:color w:val="000000"/>
                <w:lang w:val="es-ES" w:eastAsia="es-ES"/>
              </w:rPr>
            </w:pPr>
            <w:r w:rsidRPr="00F63EC7">
              <w:rPr>
                <w:rFonts w:ascii="Calibri" w:eastAsia="Times New Roman" w:hAnsi="Calibri" w:cs="Calibri"/>
                <w:color w:val="000000"/>
                <w:lang w:val="es-ES" w:eastAsia="es-ES"/>
              </w:rPr>
              <w:t>k</w:t>
            </w:r>
            <w:r>
              <w:rPr>
                <w:rFonts w:ascii="Calibri" w:eastAsia="Times New Roman" w:hAnsi="Calibri" w:cs="Calibri"/>
                <w:color w:val="000000"/>
                <w:lang w:val="es-ES" w:eastAsia="es-ES"/>
              </w:rPr>
              <w:t>g</w:t>
            </w:r>
          </w:p>
        </w:tc>
        <w:tc>
          <w:tcPr>
            <w:tcW w:w="1102" w:type="dxa"/>
            <w:noWrap/>
            <w:hideMark/>
          </w:tcPr>
          <w:p w14:paraId="65161272" w14:textId="77777777" w:rsidR="00F63EC7" w:rsidRPr="00F63EC7" w:rsidRDefault="00F63EC7" w:rsidP="00F63EC7">
            <w:pPr>
              <w:jc w:val="cente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100</w:t>
            </w:r>
          </w:p>
        </w:tc>
        <w:tc>
          <w:tcPr>
            <w:tcW w:w="1590" w:type="dxa"/>
            <w:noWrap/>
            <w:hideMark/>
          </w:tcPr>
          <w:p w14:paraId="1ACE7A9B" w14:textId="77777777" w:rsidR="00F63EC7" w:rsidRPr="00F63EC7" w:rsidRDefault="00F63EC7" w:rsidP="00F63EC7">
            <w:pPr>
              <w:jc w:val="center"/>
              <w:rPr>
                <w:rFonts w:ascii="Calibri" w:eastAsia="Times New Roman" w:hAnsi="Calibri" w:cs="Calibri"/>
                <w:b/>
                <w:bCs/>
                <w:color w:val="000000"/>
                <w:sz w:val="24"/>
                <w:szCs w:val="24"/>
                <w:lang w:val="es-ES" w:eastAsia="es-ES"/>
              </w:rPr>
            </w:pPr>
          </w:p>
        </w:tc>
        <w:tc>
          <w:tcPr>
            <w:tcW w:w="1377" w:type="dxa"/>
            <w:noWrap/>
            <w:hideMark/>
          </w:tcPr>
          <w:p w14:paraId="7E4241F4" w14:textId="77777777" w:rsidR="00F63EC7" w:rsidRPr="00F63EC7" w:rsidRDefault="00F63EC7" w:rsidP="00F63EC7">
            <w:pPr>
              <w:jc w:val="center"/>
              <w:rPr>
                <w:rFonts w:ascii="Times New Roman" w:eastAsia="Times New Roman" w:hAnsi="Times New Roman" w:cs="Times New Roman"/>
                <w:sz w:val="20"/>
                <w:szCs w:val="20"/>
                <w:lang w:val="es-ES" w:eastAsia="es-ES"/>
              </w:rPr>
            </w:pPr>
          </w:p>
        </w:tc>
      </w:tr>
      <w:tr w:rsidR="00F63EC7" w:rsidRPr="00F63EC7" w14:paraId="004EA956" w14:textId="77777777" w:rsidTr="004C346E">
        <w:trPr>
          <w:trHeight w:val="300"/>
        </w:trPr>
        <w:tc>
          <w:tcPr>
            <w:tcW w:w="1027" w:type="dxa"/>
            <w:noWrap/>
            <w:hideMark/>
          </w:tcPr>
          <w:p w14:paraId="62E10598" w14:textId="77777777" w:rsidR="00F63EC7" w:rsidRPr="00F63EC7" w:rsidRDefault="00F63EC7" w:rsidP="00F63EC7">
            <w:pPr>
              <w:jc w:val="center"/>
              <w:rPr>
                <w:rFonts w:ascii="Calibri" w:eastAsia="Times New Roman" w:hAnsi="Calibri" w:cs="Calibri"/>
                <w:b/>
                <w:bCs/>
                <w:color w:val="000000"/>
                <w:lang w:val="es-ES" w:eastAsia="es-ES"/>
              </w:rPr>
            </w:pPr>
            <w:r w:rsidRPr="00F63EC7">
              <w:rPr>
                <w:rFonts w:ascii="Calibri" w:eastAsia="Times New Roman" w:hAnsi="Calibri" w:cs="Calibri"/>
                <w:b/>
                <w:bCs/>
                <w:color w:val="000000"/>
                <w:lang w:val="es-ES" w:eastAsia="es-ES"/>
              </w:rPr>
              <w:t>Total</w:t>
            </w:r>
          </w:p>
        </w:tc>
        <w:tc>
          <w:tcPr>
            <w:tcW w:w="4193" w:type="dxa"/>
            <w:noWrap/>
            <w:hideMark/>
          </w:tcPr>
          <w:p w14:paraId="6DA07846" w14:textId="77777777" w:rsidR="00F63EC7" w:rsidRPr="00F63EC7" w:rsidRDefault="00F63EC7" w:rsidP="00F63EC7">
            <w:pPr>
              <w:jc w:val="center"/>
              <w:rPr>
                <w:rFonts w:ascii="Calibri" w:eastAsia="Times New Roman" w:hAnsi="Calibri" w:cs="Calibri"/>
                <w:b/>
                <w:bCs/>
                <w:color w:val="000000"/>
                <w:lang w:val="es-ES" w:eastAsia="es-ES"/>
              </w:rPr>
            </w:pPr>
          </w:p>
        </w:tc>
        <w:tc>
          <w:tcPr>
            <w:tcW w:w="1384" w:type="dxa"/>
            <w:noWrap/>
            <w:hideMark/>
          </w:tcPr>
          <w:p w14:paraId="40331063" w14:textId="77777777" w:rsidR="00F63EC7" w:rsidRPr="00F63EC7" w:rsidRDefault="00F63EC7" w:rsidP="00F63EC7">
            <w:pPr>
              <w:rPr>
                <w:rFonts w:ascii="Times New Roman" w:eastAsia="Times New Roman" w:hAnsi="Times New Roman" w:cs="Times New Roman"/>
                <w:sz w:val="20"/>
                <w:szCs w:val="20"/>
                <w:lang w:val="es-ES" w:eastAsia="es-ES"/>
              </w:rPr>
            </w:pPr>
          </w:p>
        </w:tc>
        <w:tc>
          <w:tcPr>
            <w:tcW w:w="1102" w:type="dxa"/>
            <w:noWrap/>
            <w:hideMark/>
          </w:tcPr>
          <w:p w14:paraId="020882A8" w14:textId="77777777" w:rsidR="00F63EC7" w:rsidRPr="00F63EC7" w:rsidRDefault="00F63EC7" w:rsidP="00F63EC7">
            <w:pPr>
              <w:jc w:val="center"/>
              <w:rPr>
                <w:rFonts w:ascii="Calibri" w:eastAsia="Times New Roman" w:hAnsi="Calibri" w:cs="Calibri"/>
                <w:b/>
                <w:bCs/>
                <w:color w:val="000000"/>
                <w:sz w:val="24"/>
                <w:szCs w:val="24"/>
                <w:lang w:val="es-ES" w:eastAsia="es-ES"/>
              </w:rPr>
            </w:pPr>
            <w:r w:rsidRPr="00F63EC7">
              <w:rPr>
                <w:rFonts w:ascii="Calibri" w:eastAsia="Times New Roman" w:hAnsi="Calibri" w:cs="Calibri"/>
                <w:b/>
                <w:bCs/>
                <w:color w:val="000000"/>
                <w:sz w:val="24"/>
                <w:szCs w:val="24"/>
                <w:lang w:val="es-ES" w:eastAsia="es-ES"/>
              </w:rPr>
              <w:t> </w:t>
            </w:r>
          </w:p>
        </w:tc>
        <w:tc>
          <w:tcPr>
            <w:tcW w:w="1590" w:type="dxa"/>
            <w:noWrap/>
            <w:hideMark/>
          </w:tcPr>
          <w:p w14:paraId="1B890E99" w14:textId="77777777" w:rsidR="00F63EC7" w:rsidRPr="00F63EC7" w:rsidRDefault="00F63EC7" w:rsidP="00F63EC7">
            <w:pPr>
              <w:jc w:val="center"/>
              <w:rPr>
                <w:rFonts w:ascii="Calibri" w:eastAsia="Times New Roman" w:hAnsi="Calibri" w:cs="Calibri"/>
                <w:b/>
                <w:bCs/>
                <w:color w:val="000000"/>
                <w:lang w:val="es-ES" w:eastAsia="es-ES"/>
              </w:rPr>
            </w:pPr>
            <w:r w:rsidRPr="00F63EC7">
              <w:rPr>
                <w:rFonts w:ascii="Calibri" w:eastAsia="Times New Roman" w:hAnsi="Calibri" w:cs="Calibri"/>
                <w:b/>
                <w:bCs/>
                <w:color w:val="000000"/>
                <w:lang w:val="es-ES" w:eastAsia="es-ES"/>
              </w:rPr>
              <w:t> </w:t>
            </w:r>
          </w:p>
        </w:tc>
        <w:tc>
          <w:tcPr>
            <w:tcW w:w="1377" w:type="dxa"/>
            <w:noWrap/>
            <w:hideMark/>
          </w:tcPr>
          <w:p w14:paraId="7401B376" w14:textId="77777777" w:rsidR="00F63EC7" w:rsidRPr="00F63EC7" w:rsidRDefault="00F63EC7" w:rsidP="00F63EC7">
            <w:pPr>
              <w:jc w:val="center"/>
              <w:rPr>
                <w:rFonts w:ascii="Calibri" w:eastAsia="Times New Roman" w:hAnsi="Calibri" w:cs="Calibri"/>
                <w:b/>
                <w:bCs/>
                <w:color w:val="000000"/>
                <w:lang w:val="es-ES" w:eastAsia="es-ES"/>
              </w:rPr>
            </w:pPr>
            <w:r w:rsidRPr="00F63EC7">
              <w:rPr>
                <w:rFonts w:ascii="Calibri" w:eastAsia="Times New Roman" w:hAnsi="Calibri" w:cs="Calibri"/>
                <w:b/>
                <w:bCs/>
                <w:color w:val="000000"/>
                <w:lang w:val="es-ES" w:eastAsia="es-ES"/>
              </w:rPr>
              <w:t> </w:t>
            </w:r>
          </w:p>
        </w:tc>
      </w:tr>
    </w:tbl>
    <w:p w14:paraId="2674BA36" w14:textId="028C90E1"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.de……</w:t>
      </w:r>
      <w:proofErr w:type="gramStart"/>
      <w:r w:rsidR="00385B20">
        <w:rPr>
          <w:rFonts w:ascii="Arial" w:hAnsi="Arial" w:cs="Arial"/>
          <w:sz w:val="24"/>
          <w:szCs w:val="24"/>
          <w:lang w:val="es-MX"/>
        </w:rPr>
        <w:t>…….</w:t>
      </w:r>
      <w:proofErr w:type="gramEnd"/>
      <w:r w:rsidR="00385B20">
        <w:rPr>
          <w:rFonts w:ascii="Arial" w:hAnsi="Arial" w:cs="Arial"/>
          <w:sz w:val="24"/>
          <w:szCs w:val="24"/>
          <w:lang w:val="es-MX"/>
        </w:rPr>
        <w:t xml:space="preserv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w:t>
      </w:r>
      <w:proofErr w:type="gramStart"/>
      <w:r w:rsidRPr="00FA3D52">
        <w:rPr>
          <w:rFonts w:ascii="Arial" w:hAnsi="Arial" w:cs="Arial"/>
          <w:sz w:val="24"/>
          <w:szCs w:val="24"/>
          <w:lang w:val="es-MX"/>
        </w:rPr>
        <w:t>N.I</w:t>
      </w:r>
      <w:proofErr w:type="gramEnd"/>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8AD9" w14:textId="77777777" w:rsidR="00FA4A6D" w:rsidRDefault="00FA4A6D" w:rsidP="00D54B95">
      <w:pPr>
        <w:spacing w:after="0" w:line="240" w:lineRule="auto"/>
      </w:pPr>
      <w:r>
        <w:separator/>
      </w:r>
    </w:p>
  </w:endnote>
  <w:endnote w:type="continuationSeparator" w:id="0">
    <w:p w14:paraId="0A901F58" w14:textId="77777777" w:rsidR="00FA4A6D" w:rsidRDefault="00FA4A6D"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E3B1" w14:textId="77777777" w:rsidR="00FA4A6D" w:rsidRDefault="00FA4A6D" w:rsidP="00D54B95">
      <w:pPr>
        <w:spacing w:after="0" w:line="240" w:lineRule="auto"/>
      </w:pPr>
      <w:r>
        <w:separator/>
      </w:r>
    </w:p>
  </w:footnote>
  <w:footnote w:type="continuationSeparator" w:id="0">
    <w:p w14:paraId="4F4BCE56" w14:textId="77777777" w:rsidR="00FA4A6D" w:rsidRDefault="00FA4A6D"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16cid:durableId="1044914212">
    <w:abstractNumId w:val="1"/>
  </w:num>
  <w:num w:numId="2" w16cid:durableId="1053697164">
    <w:abstractNumId w:val="3"/>
  </w:num>
  <w:num w:numId="3" w16cid:durableId="1854689677">
    <w:abstractNumId w:val="2"/>
  </w:num>
  <w:num w:numId="4" w16cid:durableId="1448500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6535"/>
    <w:rsid w:val="00100263"/>
    <w:rsid w:val="001020A6"/>
    <w:rsid w:val="00104FB9"/>
    <w:rsid w:val="00126AD1"/>
    <w:rsid w:val="0013631D"/>
    <w:rsid w:val="00146332"/>
    <w:rsid w:val="00146AE6"/>
    <w:rsid w:val="00157108"/>
    <w:rsid w:val="00165AFC"/>
    <w:rsid w:val="001700A9"/>
    <w:rsid w:val="001744BF"/>
    <w:rsid w:val="00184803"/>
    <w:rsid w:val="00196825"/>
    <w:rsid w:val="001A53BE"/>
    <w:rsid w:val="001D35B1"/>
    <w:rsid w:val="001E7460"/>
    <w:rsid w:val="00220F2D"/>
    <w:rsid w:val="0023105E"/>
    <w:rsid w:val="002363F7"/>
    <w:rsid w:val="0024283B"/>
    <w:rsid w:val="00252261"/>
    <w:rsid w:val="0027329F"/>
    <w:rsid w:val="002749BC"/>
    <w:rsid w:val="002927D3"/>
    <w:rsid w:val="00293486"/>
    <w:rsid w:val="00294788"/>
    <w:rsid w:val="002A1C45"/>
    <w:rsid w:val="002A3618"/>
    <w:rsid w:val="002B44A6"/>
    <w:rsid w:val="002F0CA9"/>
    <w:rsid w:val="002F1C32"/>
    <w:rsid w:val="002F511B"/>
    <w:rsid w:val="003106D8"/>
    <w:rsid w:val="00316647"/>
    <w:rsid w:val="00325527"/>
    <w:rsid w:val="00330321"/>
    <w:rsid w:val="00334438"/>
    <w:rsid w:val="00343552"/>
    <w:rsid w:val="00370713"/>
    <w:rsid w:val="0037375F"/>
    <w:rsid w:val="00385B20"/>
    <w:rsid w:val="003C268C"/>
    <w:rsid w:val="003C2815"/>
    <w:rsid w:val="003C49B9"/>
    <w:rsid w:val="003D0B1D"/>
    <w:rsid w:val="003D2151"/>
    <w:rsid w:val="003D3068"/>
    <w:rsid w:val="003F72E2"/>
    <w:rsid w:val="00401CA9"/>
    <w:rsid w:val="00406D64"/>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C346E"/>
    <w:rsid w:val="004D55E2"/>
    <w:rsid w:val="00504AB6"/>
    <w:rsid w:val="00515522"/>
    <w:rsid w:val="00537673"/>
    <w:rsid w:val="0054401C"/>
    <w:rsid w:val="00552B39"/>
    <w:rsid w:val="005531BC"/>
    <w:rsid w:val="00556784"/>
    <w:rsid w:val="00561020"/>
    <w:rsid w:val="00565AD0"/>
    <w:rsid w:val="0058578C"/>
    <w:rsid w:val="005917BB"/>
    <w:rsid w:val="00593B16"/>
    <w:rsid w:val="005A1702"/>
    <w:rsid w:val="005B080D"/>
    <w:rsid w:val="005B3F86"/>
    <w:rsid w:val="005B4656"/>
    <w:rsid w:val="005B5285"/>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378D"/>
    <w:rsid w:val="00736DFC"/>
    <w:rsid w:val="00740987"/>
    <w:rsid w:val="00745A68"/>
    <w:rsid w:val="00787320"/>
    <w:rsid w:val="007B0C84"/>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51517"/>
    <w:rsid w:val="00973CFA"/>
    <w:rsid w:val="00991259"/>
    <w:rsid w:val="009A05A4"/>
    <w:rsid w:val="009A7C81"/>
    <w:rsid w:val="009B3918"/>
    <w:rsid w:val="009F02F9"/>
    <w:rsid w:val="00A00E82"/>
    <w:rsid w:val="00A110F9"/>
    <w:rsid w:val="00A1543F"/>
    <w:rsid w:val="00A418DA"/>
    <w:rsid w:val="00A4512C"/>
    <w:rsid w:val="00A47394"/>
    <w:rsid w:val="00A73300"/>
    <w:rsid w:val="00AB3060"/>
    <w:rsid w:val="00AD0721"/>
    <w:rsid w:val="00AD24DE"/>
    <w:rsid w:val="00AD2DCB"/>
    <w:rsid w:val="00AD761D"/>
    <w:rsid w:val="00AE55E2"/>
    <w:rsid w:val="00AF6362"/>
    <w:rsid w:val="00B005CF"/>
    <w:rsid w:val="00B05A61"/>
    <w:rsid w:val="00B13A29"/>
    <w:rsid w:val="00B16EF1"/>
    <w:rsid w:val="00B269A1"/>
    <w:rsid w:val="00B31C80"/>
    <w:rsid w:val="00B373A5"/>
    <w:rsid w:val="00B400DF"/>
    <w:rsid w:val="00B42DC7"/>
    <w:rsid w:val="00B545E5"/>
    <w:rsid w:val="00B6346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E1144"/>
    <w:rsid w:val="00CF12BC"/>
    <w:rsid w:val="00CF3C37"/>
    <w:rsid w:val="00D002BD"/>
    <w:rsid w:val="00D130F5"/>
    <w:rsid w:val="00D2097A"/>
    <w:rsid w:val="00D302B6"/>
    <w:rsid w:val="00D32B7B"/>
    <w:rsid w:val="00D37E79"/>
    <w:rsid w:val="00D54B95"/>
    <w:rsid w:val="00D7727E"/>
    <w:rsid w:val="00D90105"/>
    <w:rsid w:val="00D90BC5"/>
    <w:rsid w:val="00DA0186"/>
    <w:rsid w:val="00DB2703"/>
    <w:rsid w:val="00DB35C8"/>
    <w:rsid w:val="00DB7931"/>
    <w:rsid w:val="00DC4609"/>
    <w:rsid w:val="00DD1DFF"/>
    <w:rsid w:val="00DF713D"/>
    <w:rsid w:val="00E02A5B"/>
    <w:rsid w:val="00E06EF9"/>
    <w:rsid w:val="00E3389D"/>
    <w:rsid w:val="00E35F5D"/>
    <w:rsid w:val="00E43BD1"/>
    <w:rsid w:val="00E44C02"/>
    <w:rsid w:val="00E57C36"/>
    <w:rsid w:val="00E67059"/>
    <w:rsid w:val="00E77C0D"/>
    <w:rsid w:val="00E86172"/>
    <w:rsid w:val="00E900A7"/>
    <w:rsid w:val="00E90C77"/>
    <w:rsid w:val="00E9483E"/>
    <w:rsid w:val="00EB00A0"/>
    <w:rsid w:val="00EB06B4"/>
    <w:rsid w:val="00EE6878"/>
    <w:rsid w:val="00EF74ED"/>
    <w:rsid w:val="00F00D7C"/>
    <w:rsid w:val="00F044F7"/>
    <w:rsid w:val="00F07B3B"/>
    <w:rsid w:val="00F10CCD"/>
    <w:rsid w:val="00F16F8C"/>
    <w:rsid w:val="00F27C90"/>
    <w:rsid w:val="00F43F98"/>
    <w:rsid w:val="00F5036F"/>
    <w:rsid w:val="00F50ABE"/>
    <w:rsid w:val="00F55451"/>
    <w:rsid w:val="00F57BE5"/>
    <w:rsid w:val="00F622B4"/>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5277</Words>
  <Characters>29027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BORI</cp:lastModifiedBy>
  <cp:revision>7</cp:revision>
  <cp:lastPrinted>2024-02-23T11:36:00Z</cp:lastPrinted>
  <dcterms:created xsi:type="dcterms:W3CDTF">2026-03-28T21:38:00Z</dcterms:created>
  <dcterms:modified xsi:type="dcterms:W3CDTF">2026-03-28T22:32:00Z</dcterms:modified>
</cp:coreProperties>
</file>