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201E0E86"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A066CE">
        <w:rPr>
          <w:rFonts w:ascii="Arial" w:hAnsi="Arial" w:cs="Arial"/>
          <w:b/>
          <w:sz w:val="24"/>
          <w:szCs w:val="24"/>
          <w:u w:val="single"/>
          <w:lang w:val="es-MX"/>
        </w:rPr>
        <w:t xml:space="preserve"> N°</w:t>
      </w:r>
      <w:r w:rsidR="00AA5CB0">
        <w:rPr>
          <w:rFonts w:ascii="Arial" w:hAnsi="Arial" w:cs="Arial"/>
          <w:sz w:val="24"/>
          <w:szCs w:val="24"/>
          <w:lang w:val="es-MX"/>
        </w:rPr>
        <w:t xml:space="preserve"> </w:t>
      </w:r>
      <w:r w:rsidR="00885694">
        <w:rPr>
          <w:rFonts w:ascii="Arial" w:hAnsi="Arial" w:cs="Arial"/>
          <w:sz w:val="24"/>
          <w:szCs w:val="24"/>
          <w:lang w:val="es-MX"/>
        </w:rPr>
        <w:t>56</w:t>
      </w:r>
      <w:r w:rsidR="005D7C50">
        <w:rPr>
          <w:rFonts w:ascii="Arial" w:hAnsi="Arial" w:cs="Arial"/>
          <w:sz w:val="24"/>
          <w:szCs w:val="24"/>
          <w:lang w:val="es-MX"/>
        </w:rPr>
        <w:t>6336</w:t>
      </w:r>
    </w:p>
    <w:p w14:paraId="6799562E" w14:textId="51B3F082" w:rsidR="00FA3D52" w:rsidRPr="0032159F" w:rsidRDefault="00FA3D52" w:rsidP="0065265B">
      <w:pPr>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5D7C50" w:rsidRPr="005D7C50">
        <w:rPr>
          <w:rFonts w:ascii="Arial" w:hAnsi="Arial" w:cs="Arial"/>
          <w:sz w:val="24"/>
          <w:szCs w:val="24"/>
        </w:rPr>
        <w:t xml:space="preserve">La presente contratación tiene por objeto la </w:t>
      </w:r>
      <w:r w:rsidR="005D7C50" w:rsidRPr="005D7C50">
        <w:rPr>
          <w:rFonts w:ascii="Arial" w:hAnsi="Arial" w:cs="Arial"/>
          <w:b/>
          <w:bCs/>
          <w:sz w:val="24"/>
          <w:szCs w:val="24"/>
        </w:rPr>
        <w:t>provisión de adoquines de hormigón tipo 10x10 aptos para tránsito pesado</w:t>
      </w:r>
      <w:r w:rsidR="005D7C50" w:rsidRPr="005D7C50">
        <w:rPr>
          <w:rFonts w:ascii="Arial" w:hAnsi="Arial" w:cs="Arial"/>
          <w:sz w:val="24"/>
          <w:szCs w:val="24"/>
        </w:rPr>
        <w:t xml:space="preserve">, por una cantidad total estimada de </w:t>
      </w:r>
      <w:r w:rsidR="005D7C50" w:rsidRPr="005D7C50">
        <w:rPr>
          <w:rFonts w:ascii="Arial" w:hAnsi="Arial" w:cs="Arial"/>
          <w:b/>
          <w:bCs/>
          <w:sz w:val="24"/>
          <w:szCs w:val="24"/>
        </w:rPr>
        <w:t>1.000,00 m²</w:t>
      </w:r>
      <w:r w:rsidR="005D7C50" w:rsidRPr="005D7C50">
        <w:rPr>
          <w:rFonts w:ascii="Arial" w:hAnsi="Arial" w:cs="Arial"/>
          <w:sz w:val="24"/>
          <w:szCs w:val="24"/>
        </w:rPr>
        <w:t>, destinados a la ejecución de trabajos de reparación y reacondicionamiento de pasajes urbanos que presentan deterioro estructural, con la finalidad de mejorar la circulación vehicular, optimizar las condiciones de transitabilidad y contribuir al mantenimiento de la infraestructura vial urbana en el ámbito del municipio de Orán.</w:t>
      </w:r>
    </w:p>
    <w:p w14:paraId="17EE21AB" w14:textId="4FDB3ABF"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r w:rsidR="00A066CE" w:rsidRPr="00A066CE">
        <w:rPr>
          <w:rFonts w:ascii="Arial" w:hAnsi="Arial" w:cs="Arial"/>
          <w:sz w:val="24"/>
          <w:szCs w:val="24"/>
        </w:rPr>
        <w:t>Viernes 2</w:t>
      </w:r>
      <w:r w:rsidR="005D7C50">
        <w:rPr>
          <w:rFonts w:ascii="Arial" w:hAnsi="Arial" w:cs="Arial"/>
          <w:sz w:val="24"/>
          <w:szCs w:val="24"/>
        </w:rPr>
        <w:t>5</w:t>
      </w:r>
      <w:r w:rsidR="00A066CE" w:rsidRPr="00A066CE">
        <w:rPr>
          <w:rFonts w:ascii="Arial" w:hAnsi="Arial" w:cs="Arial"/>
          <w:sz w:val="24"/>
          <w:szCs w:val="24"/>
        </w:rPr>
        <w:t>/03/2026 a las 09:00 horas</w:t>
      </w:r>
    </w:p>
    <w:p w14:paraId="3B405524" w14:textId="033361F5" w:rsidR="00FA3D52" w:rsidRPr="0065265B" w:rsidRDefault="00FA3D52" w:rsidP="0065265B">
      <w:pPr>
        <w:tabs>
          <w:tab w:val="left" w:pos="3630"/>
        </w:tabs>
        <w:jc w:val="both"/>
        <w:rPr>
          <w:rFonts w:ascii="Arial" w:hAnsi="Arial" w:cs="Arial"/>
          <w:sz w:val="24"/>
          <w:szCs w:val="24"/>
          <w:u w:val="single"/>
          <w:lang w:val="es-MX"/>
        </w:rPr>
      </w:pPr>
      <w:r w:rsidRPr="0065265B">
        <w:rPr>
          <w:rFonts w:ascii="Arial" w:hAnsi="Arial" w:cs="Arial"/>
          <w:sz w:val="24"/>
          <w:szCs w:val="24"/>
          <w:u w:val="single"/>
          <w:lang w:val="es-MX"/>
        </w:rPr>
        <w:t>SEÑOR PROVEEDOR:</w:t>
      </w:r>
    </w:p>
    <w:p w14:paraId="121A0ED1" w14:textId="73570A04" w:rsidR="00A066CE" w:rsidRPr="00A066CE" w:rsidRDefault="00A066CE" w:rsidP="0065265B">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Pr="005D7C50">
        <w:rPr>
          <w:rFonts w:ascii="Arial" w:hAnsi="Arial" w:cs="Arial"/>
          <w:b/>
          <w:bCs/>
          <w:sz w:val="24"/>
          <w:szCs w:val="24"/>
          <w:lang w:val="es-419"/>
        </w:rPr>
        <w:t>2</w:t>
      </w:r>
      <w:r w:rsidR="005D7C50" w:rsidRPr="005D7C50">
        <w:rPr>
          <w:rFonts w:ascii="Arial" w:hAnsi="Arial" w:cs="Arial"/>
          <w:b/>
          <w:bCs/>
          <w:sz w:val="24"/>
          <w:szCs w:val="24"/>
          <w:lang w:val="es-419"/>
        </w:rPr>
        <w:t>5</w:t>
      </w:r>
      <w:r w:rsidRPr="005D7C50">
        <w:rPr>
          <w:rFonts w:ascii="Arial" w:hAnsi="Arial" w:cs="Arial"/>
          <w:b/>
          <w:bCs/>
          <w:sz w:val="24"/>
          <w:szCs w:val="24"/>
          <w:lang w:val="es-419"/>
        </w:rPr>
        <w:t>/03/2026</w:t>
      </w:r>
      <w:r w:rsidRPr="00A066CE">
        <w:rPr>
          <w:rFonts w:ascii="Arial" w:hAnsi="Arial" w:cs="Arial"/>
          <w:sz w:val="24"/>
          <w:szCs w:val="24"/>
          <w:lang w:val="es-419"/>
        </w:rPr>
        <w:t xml:space="preserve"> a las </w:t>
      </w:r>
      <w:r w:rsidRPr="005D7C50">
        <w:rPr>
          <w:rFonts w:ascii="Arial" w:hAnsi="Arial" w:cs="Arial"/>
          <w:b/>
          <w:bCs/>
          <w:sz w:val="24"/>
          <w:szCs w:val="24"/>
          <w:lang w:val="es-419"/>
        </w:rPr>
        <w:t>09:00</w:t>
      </w:r>
      <w:r w:rsidRPr="00A066CE">
        <w:rPr>
          <w:rFonts w:ascii="Arial" w:hAnsi="Arial" w:cs="Arial"/>
          <w:sz w:val="24"/>
          <w:szCs w:val="24"/>
          <w:lang w:val="es-419"/>
        </w:rPr>
        <w:t xml:space="preserve"> horas, los precios de los artículos y/o servicios detallados a continuación, conforme a las condiciones estipuladas en el presente documento.</w:t>
      </w:r>
    </w:p>
    <w:p w14:paraId="7A50FEEB" w14:textId="00E1FEFA" w:rsidR="0065265B" w:rsidRPr="0065265B" w:rsidRDefault="0065265B" w:rsidP="0065265B">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0507DA7" w14:textId="77777777" w:rsidR="0065265B" w:rsidRPr="0065265B" w:rsidRDefault="0065265B" w:rsidP="0065265B">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7AF13905" w14:textId="607FA30F" w:rsidR="0065265B" w:rsidRPr="0065265B" w:rsidRDefault="0065265B" w:rsidP="0065265B">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494659B6" w14:textId="77777777" w:rsidR="0065265B" w:rsidRDefault="0065265B" w:rsidP="0065265B">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3187845C" w14:textId="7150F14F"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t>CONDICIONES GENERALES</w:t>
      </w:r>
    </w:p>
    <w:p w14:paraId="377BD5B3" w14:textId="38F6E98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DD4B57"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62DF0675"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65265B">
        <w:rPr>
          <w:rFonts w:ascii="Arial" w:hAnsi="Arial" w:cs="Arial"/>
          <w:sz w:val="24"/>
          <w:szCs w:val="24"/>
          <w:lang w:val="es-MX"/>
        </w:rPr>
        <w:t>…….</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3A30B207" w14:textId="77777777" w:rsidR="0065265B" w:rsidRDefault="0065265B" w:rsidP="004557C5">
      <w:pPr>
        <w:spacing w:line="360" w:lineRule="auto"/>
        <w:jc w:val="right"/>
        <w:rPr>
          <w:rFonts w:ascii="Arial" w:hAnsi="Arial" w:cs="Arial"/>
          <w:sz w:val="24"/>
          <w:szCs w:val="24"/>
          <w:lang w:val="es-MX"/>
        </w:rPr>
      </w:pPr>
    </w:p>
    <w:p w14:paraId="19FD4DB4" w14:textId="77777777" w:rsidR="0065265B" w:rsidRDefault="0065265B" w:rsidP="004557C5">
      <w:pPr>
        <w:spacing w:line="360" w:lineRule="auto"/>
        <w:jc w:val="right"/>
        <w:rPr>
          <w:rFonts w:ascii="Arial" w:hAnsi="Arial" w:cs="Arial"/>
          <w:sz w:val="24"/>
          <w:szCs w:val="24"/>
          <w:lang w:val="es-MX"/>
        </w:rPr>
      </w:pPr>
    </w:p>
    <w:p w14:paraId="2EA0D1F9" w14:textId="05B20883" w:rsidR="00FA3D52" w:rsidRPr="0065265B" w:rsidRDefault="00FA3D52" w:rsidP="005D7C50">
      <w:pPr>
        <w:spacing w:line="360" w:lineRule="auto"/>
        <w:jc w:val="center"/>
        <w:rPr>
          <w:rFonts w:ascii="Arial" w:hAnsi="Arial" w:cs="Arial"/>
          <w:sz w:val="24"/>
          <w:szCs w:val="24"/>
          <w:lang w:val="es-MX"/>
        </w:rPr>
      </w:pPr>
      <w:r w:rsidRPr="0065265B">
        <w:rPr>
          <w:rFonts w:ascii="Arial" w:hAnsi="Arial" w:cs="Arial"/>
          <w:sz w:val="24"/>
          <w:szCs w:val="24"/>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D4710" w14:textId="77777777" w:rsidR="00A75F0F" w:rsidRDefault="00A75F0F" w:rsidP="00D54B95">
      <w:pPr>
        <w:spacing w:after="0" w:line="240" w:lineRule="auto"/>
      </w:pPr>
      <w:r>
        <w:separator/>
      </w:r>
    </w:p>
  </w:endnote>
  <w:endnote w:type="continuationSeparator" w:id="0">
    <w:p w14:paraId="2FD36174" w14:textId="77777777" w:rsidR="00A75F0F" w:rsidRDefault="00A75F0F"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2013" w14:textId="77777777" w:rsidR="00A75F0F" w:rsidRDefault="00A75F0F" w:rsidP="00D54B95">
      <w:pPr>
        <w:spacing w:after="0" w:line="240" w:lineRule="auto"/>
      </w:pPr>
      <w:r>
        <w:separator/>
      </w:r>
    </w:p>
  </w:footnote>
  <w:footnote w:type="continuationSeparator" w:id="0">
    <w:p w14:paraId="749D91F0" w14:textId="77777777" w:rsidR="00A75F0F" w:rsidRDefault="00A75F0F"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6535"/>
    <w:rsid w:val="001020A6"/>
    <w:rsid w:val="00104FB9"/>
    <w:rsid w:val="00126AD1"/>
    <w:rsid w:val="0013631D"/>
    <w:rsid w:val="001431F3"/>
    <w:rsid w:val="00146332"/>
    <w:rsid w:val="00146AE6"/>
    <w:rsid w:val="00165AFC"/>
    <w:rsid w:val="001744BF"/>
    <w:rsid w:val="00182B8B"/>
    <w:rsid w:val="00184803"/>
    <w:rsid w:val="001D35B1"/>
    <w:rsid w:val="001E7460"/>
    <w:rsid w:val="0023105E"/>
    <w:rsid w:val="00234C2E"/>
    <w:rsid w:val="0024283B"/>
    <w:rsid w:val="00252261"/>
    <w:rsid w:val="00267EBE"/>
    <w:rsid w:val="002749BC"/>
    <w:rsid w:val="00280736"/>
    <w:rsid w:val="002927D3"/>
    <w:rsid w:val="00293486"/>
    <w:rsid w:val="00294788"/>
    <w:rsid w:val="002A3618"/>
    <w:rsid w:val="002B44A6"/>
    <w:rsid w:val="002E5FDB"/>
    <w:rsid w:val="002F0CA9"/>
    <w:rsid w:val="002F1C32"/>
    <w:rsid w:val="002F511B"/>
    <w:rsid w:val="00316647"/>
    <w:rsid w:val="0032159F"/>
    <w:rsid w:val="00325527"/>
    <w:rsid w:val="00334438"/>
    <w:rsid w:val="00343552"/>
    <w:rsid w:val="00370713"/>
    <w:rsid w:val="0037375F"/>
    <w:rsid w:val="00381D20"/>
    <w:rsid w:val="00385B20"/>
    <w:rsid w:val="003C2815"/>
    <w:rsid w:val="003C49B9"/>
    <w:rsid w:val="003D0B1D"/>
    <w:rsid w:val="003D2151"/>
    <w:rsid w:val="003D3068"/>
    <w:rsid w:val="003E4645"/>
    <w:rsid w:val="003E7551"/>
    <w:rsid w:val="00401CA9"/>
    <w:rsid w:val="0041364F"/>
    <w:rsid w:val="0041536B"/>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0373"/>
    <w:rsid w:val="00561020"/>
    <w:rsid w:val="00565AD0"/>
    <w:rsid w:val="005A1702"/>
    <w:rsid w:val="005B080D"/>
    <w:rsid w:val="005B4656"/>
    <w:rsid w:val="005B5285"/>
    <w:rsid w:val="005D4430"/>
    <w:rsid w:val="005D7C50"/>
    <w:rsid w:val="005E4B40"/>
    <w:rsid w:val="005F78D9"/>
    <w:rsid w:val="00606F60"/>
    <w:rsid w:val="006113B8"/>
    <w:rsid w:val="00613795"/>
    <w:rsid w:val="00634171"/>
    <w:rsid w:val="0065265B"/>
    <w:rsid w:val="00652E8C"/>
    <w:rsid w:val="00687671"/>
    <w:rsid w:val="006A038C"/>
    <w:rsid w:val="006A1F8B"/>
    <w:rsid w:val="006D0BAF"/>
    <w:rsid w:val="006D3750"/>
    <w:rsid w:val="006E220B"/>
    <w:rsid w:val="007172C0"/>
    <w:rsid w:val="007212C1"/>
    <w:rsid w:val="00726AFD"/>
    <w:rsid w:val="0073378D"/>
    <w:rsid w:val="00736DFC"/>
    <w:rsid w:val="00740987"/>
    <w:rsid w:val="00745A68"/>
    <w:rsid w:val="007703CB"/>
    <w:rsid w:val="007B0C84"/>
    <w:rsid w:val="007F211A"/>
    <w:rsid w:val="0081025C"/>
    <w:rsid w:val="00820D16"/>
    <w:rsid w:val="00832E18"/>
    <w:rsid w:val="008404DF"/>
    <w:rsid w:val="00854ADC"/>
    <w:rsid w:val="008574DF"/>
    <w:rsid w:val="008660F9"/>
    <w:rsid w:val="00871AFD"/>
    <w:rsid w:val="00871F10"/>
    <w:rsid w:val="00885694"/>
    <w:rsid w:val="00891D4B"/>
    <w:rsid w:val="008D56AC"/>
    <w:rsid w:val="008D719A"/>
    <w:rsid w:val="00991259"/>
    <w:rsid w:val="009A05A4"/>
    <w:rsid w:val="009B3918"/>
    <w:rsid w:val="00A00E82"/>
    <w:rsid w:val="00A066CE"/>
    <w:rsid w:val="00A1543F"/>
    <w:rsid w:val="00A15C1C"/>
    <w:rsid w:val="00A40304"/>
    <w:rsid w:val="00A4512C"/>
    <w:rsid w:val="00A732F1"/>
    <w:rsid w:val="00A75F0F"/>
    <w:rsid w:val="00AA0327"/>
    <w:rsid w:val="00AA5CB0"/>
    <w:rsid w:val="00AB3060"/>
    <w:rsid w:val="00AD2DCB"/>
    <w:rsid w:val="00AD6220"/>
    <w:rsid w:val="00AE55E2"/>
    <w:rsid w:val="00AF6362"/>
    <w:rsid w:val="00B005CF"/>
    <w:rsid w:val="00B05A61"/>
    <w:rsid w:val="00B16EF1"/>
    <w:rsid w:val="00B31C80"/>
    <w:rsid w:val="00B400DF"/>
    <w:rsid w:val="00B545E5"/>
    <w:rsid w:val="00B63469"/>
    <w:rsid w:val="00B655ED"/>
    <w:rsid w:val="00B757A7"/>
    <w:rsid w:val="00B8540B"/>
    <w:rsid w:val="00BA4065"/>
    <w:rsid w:val="00BE59E4"/>
    <w:rsid w:val="00BF6E41"/>
    <w:rsid w:val="00C42B0C"/>
    <w:rsid w:val="00C444AF"/>
    <w:rsid w:val="00C57CDE"/>
    <w:rsid w:val="00C80E48"/>
    <w:rsid w:val="00C817AA"/>
    <w:rsid w:val="00C82082"/>
    <w:rsid w:val="00C8325A"/>
    <w:rsid w:val="00C97A45"/>
    <w:rsid w:val="00CA3320"/>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DD4B57"/>
    <w:rsid w:val="00E02A5B"/>
    <w:rsid w:val="00E12421"/>
    <w:rsid w:val="00E24EC0"/>
    <w:rsid w:val="00E57C36"/>
    <w:rsid w:val="00E900A7"/>
    <w:rsid w:val="00E9483E"/>
    <w:rsid w:val="00EB00A0"/>
    <w:rsid w:val="00EB06B4"/>
    <w:rsid w:val="00EB6FD4"/>
    <w:rsid w:val="00ED3748"/>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D6135"/>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531698402">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264263083">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52500393">
      <w:bodyDiv w:val="1"/>
      <w:marLeft w:val="0"/>
      <w:marRight w:val="0"/>
      <w:marTop w:val="0"/>
      <w:marBottom w:val="0"/>
      <w:divBdr>
        <w:top w:val="none" w:sz="0" w:space="0" w:color="auto"/>
        <w:left w:val="none" w:sz="0" w:space="0" w:color="auto"/>
        <w:bottom w:val="none" w:sz="0" w:space="0" w:color="auto"/>
        <w:right w:val="none" w:sz="0" w:space="0" w:color="auto"/>
      </w:divBdr>
    </w:div>
    <w:div w:id="171484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Pages>
  <Words>2172</Words>
  <Characters>11949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54</cp:revision>
  <cp:lastPrinted>2024-02-23T11:36:00Z</cp:lastPrinted>
  <dcterms:created xsi:type="dcterms:W3CDTF">2024-10-15T11:44:00Z</dcterms:created>
  <dcterms:modified xsi:type="dcterms:W3CDTF">2026-03-12T12:04:00Z</dcterms:modified>
</cp:coreProperties>
</file>