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03F19C14"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2A3628">
        <w:rPr>
          <w:rFonts w:ascii="Arial" w:hAnsi="Arial" w:cs="Arial"/>
          <w:sz w:val="24"/>
          <w:szCs w:val="24"/>
          <w:lang w:val="es-MX"/>
        </w:rPr>
        <w:t>5</w:t>
      </w:r>
      <w:r w:rsidR="000E003B">
        <w:rPr>
          <w:rFonts w:ascii="Arial" w:hAnsi="Arial" w:cs="Arial"/>
          <w:sz w:val="24"/>
          <w:szCs w:val="24"/>
          <w:lang w:val="es-MX"/>
        </w:rPr>
        <w:t>62813</w:t>
      </w:r>
    </w:p>
    <w:p w14:paraId="657C57BB" w14:textId="4A9B006A"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Adquisición de </w:t>
      </w:r>
      <w:r w:rsidR="002A3628" w:rsidRPr="00E441CB">
        <w:rPr>
          <w:rFonts w:ascii="Arial" w:hAnsi="Arial" w:cs="Arial"/>
          <w:b/>
          <w:sz w:val="24"/>
          <w:szCs w:val="24"/>
          <w:lang w:val="es-MX"/>
        </w:rPr>
        <w:t>6</w:t>
      </w:r>
      <w:r w:rsidR="000E003B">
        <w:rPr>
          <w:rFonts w:ascii="Arial" w:hAnsi="Arial" w:cs="Arial"/>
          <w:b/>
          <w:sz w:val="24"/>
          <w:szCs w:val="24"/>
          <w:lang w:val="es-MX"/>
        </w:rPr>
        <w:t>4</w:t>
      </w:r>
      <w:r w:rsidRPr="00D22E40">
        <w:rPr>
          <w:rFonts w:ascii="Arial" w:hAnsi="Arial" w:cs="Arial"/>
          <w:b/>
          <w:sz w:val="24"/>
          <w:szCs w:val="24"/>
          <w:lang w:val="es-MX"/>
        </w:rPr>
        <w:t xml:space="preserve"> m3 </w:t>
      </w:r>
      <w:r w:rsidRPr="0048247F">
        <w:rPr>
          <w:rFonts w:ascii="Arial" w:hAnsi="Arial" w:cs="Arial"/>
          <w:bCs/>
          <w:sz w:val="24"/>
          <w:szCs w:val="24"/>
          <w:lang w:val="es-MX"/>
        </w:rPr>
        <w:t>(</w:t>
      </w:r>
      <w:r w:rsidR="002A3628">
        <w:rPr>
          <w:rFonts w:ascii="Arial" w:hAnsi="Arial" w:cs="Arial"/>
          <w:bCs/>
          <w:sz w:val="24"/>
          <w:szCs w:val="24"/>
          <w:lang w:val="es-MX"/>
        </w:rPr>
        <w:t>sesenta</w:t>
      </w:r>
      <w:r w:rsidR="000E003B">
        <w:rPr>
          <w:rFonts w:ascii="Arial" w:hAnsi="Arial" w:cs="Arial"/>
          <w:bCs/>
          <w:sz w:val="24"/>
          <w:szCs w:val="24"/>
          <w:lang w:val="es-MX"/>
        </w:rPr>
        <w:t xml:space="preserve"> y cuatro </w:t>
      </w:r>
      <w:r w:rsidRPr="0048247F">
        <w:rPr>
          <w:rFonts w:ascii="Arial" w:hAnsi="Arial" w:cs="Arial"/>
          <w:bCs/>
          <w:sz w:val="24"/>
          <w:szCs w:val="24"/>
          <w:lang w:val="es-MX"/>
        </w:rPr>
        <w:t>metros cúbicos) de</w:t>
      </w:r>
      <w:r w:rsidRPr="00D22E40">
        <w:rPr>
          <w:rFonts w:ascii="Arial" w:hAnsi="Arial" w:cs="Arial"/>
          <w:b/>
          <w:sz w:val="24"/>
          <w:szCs w:val="24"/>
          <w:lang w:val="es-MX"/>
        </w:rPr>
        <w:t xml:space="preserve"> Hormigón Elaborado H-21</w:t>
      </w:r>
      <w:r>
        <w:rPr>
          <w:rFonts w:ascii="Arial" w:hAnsi="Arial" w:cs="Arial"/>
          <w:sz w:val="24"/>
          <w:szCs w:val="24"/>
          <w:lang w:val="es-MX"/>
        </w:rPr>
        <w:t xml:space="preserve">: </w:t>
      </w:r>
      <w:r w:rsidR="000268EE" w:rsidRPr="000268EE">
        <w:rPr>
          <w:rFonts w:ascii="Arial" w:hAnsi="Arial" w:cs="Arial"/>
          <w:sz w:val="24"/>
          <w:szCs w:val="24"/>
          <w:lang w:val="es-MX"/>
        </w:rPr>
        <w:t>para</w:t>
      </w:r>
      <w:r w:rsidR="000E003B">
        <w:rPr>
          <w:rFonts w:ascii="Arial" w:hAnsi="Arial" w:cs="Arial"/>
          <w:sz w:val="24"/>
          <w:szCs w:val="24"/>
          <w:lang w:val="es-MX"/>
        </w:rPr>
        <w:t xml:space="preserve"> la</w:t>
      </w:r>
      <w:r w:rsidR="000268EE" w:rsidRPr="000268EE">
        <w:rPr>
          <w:rFonts w:ascii="Arial" w:hAnsi="Arial" w:cs="Arial"/>
          <w:sz w:val="24"/>
          <w:szCs w:val="24"/>
          <w:lang w:val="es-MX"/>
        </w:rPr>
        <w:t xml:space="preserve"> </w:t>
      </w:r>
      <w:r w:rsidR="002A3628" w:rsidRPr="002A3628">
        <w:rPr>
          <w:rFonts w:ascii="Arial" w:hAnsi="Arial" w:cs="Arial"/>
          <w:b/>
          <w:sz w:val="24"/>
          <w:szCs w:val="24"/>
          <w:lang w:val="es-MX"/>
        </w:rPr>
        <w:t>ejecución</w:t>
      </w:r>
      <w:r w:rsidR="002A3628">
        <w:rPr>
          <w:rFonts w:ascii="Arial" w:hAnsi="Arial" w:cs="Arial"/>
          <w:sz w:val="24"/>
          <w:szCs w:val="24"/>
          <w:lang w:val="es-MX"/>
        </w:rPr>
        <w:t xml:space="preserve"> </w:t>
      </w:r>
      <w:r w:rsidR="002A3628">
        <w:rPr>
          <w:rFonts w:ascii="Arial" w:hAnsi="Arial" w:cs="Arial"/>
          <w:b/>
          <w:bCs/>
          <w:sz w:val="24"/>
          <w:szCs w:val="24"/>
          <w:lang w:val="es-MX"/>
        </w:rPr>
        <w:t>de</w:t>
      </w:r>
      <w:r w:rsidR="000E003B">
        <w:rPr>
          <w:rFonts w:ascii="Arial" w:hAnsi="Arial" w:cs="Arial"/>
          <w:b/>
          <w:bCs/>
          <w:sz w:val="24"/>
          <w:szCs w:val="24"/>
          <w:lang w:val="es-MX"/>
        </w:rPr>
        <w:t xml:space="preserve"> la vereda perimetral de la plaza 11 de Septiembre, </w:t>
      </w:r>
      <w:r w:rsidR="000E003B">
        <w:rPr>
          <w:rFonts w:ascii="Arial" w:hAnsi="Arial" w:cs="Arial"/>
          <w:sz w:val="24"/>
          <w:szCs w:val="24"/>
          <w:lang w:val="es-MX"/>
        </w:rPr>
        <w:t xml:space="preserve">ubicada en la intersección de </w:t>
      </w:r>
      <w:r w:rsidR="000E003B">
        <w:rPr>
          <w:rFonts w:ascii="Arial" w:hAnsi="Arial" w:cs="Arial"/>
          <w:b/>
          <w:bCs/>
          <w:sz w:val="24"/>
          <w:szCs w:val="24"/>
          <w:lang w:val="es-MX"/>
        </w:rPr>
        <w:t xml:space="preserve">P.O. de Zarate y López y Planes. </w:t>
      </w:r>
      <w:r w:rsidR="002A3628">
        <w:rPr>
          <w:rFonts w:ascii="Arial" w:hAnsi="Arial" w:cs="Arial"/>
          <w:b/>
          <w:bCs/>
          <w:sz w:val="24"/>
          <w:szCs w:val="24"/>
          <w:lang w:val="es-MX"/>
        </w:rPr>
        <w:t xml:space="preserve">  </w:t>
      </w:r>
    </w:p>
    <w:p w14:paraId="6E3EA002" w14:textId="2541F18F"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r w:rsidR="002A3628">
        <w:rPr>
          <w:rFonts w:ascii="Arial" w:hAnsi="Arial" w:cs="Arial"/>
          <w:sz w:val="24"/>
          <w:szCs w:val="24"/>
          <w:lang w:val="es-MX"/>
        </w:rPr>
        <w:t>Lunes</w:t>
      </w:r>
      <w:r>
        <w:rPr>
          <w:rFonts w:ascii="Arial" w:hAnsi="Arial" w:cs="Arial"/>
          <w:sz w:val="24"/>
          <w:szCs w:val="24"/>
          <w:lang w:val="es-MX"/>
        </w:rPr>
        <w:t xml:space="preserve"> </w:t>
      </w:r>
      <w:r w:rsidR="000E003B">
        <w:rPr>
          <w:rFonts w:ascii="Arial" w:hAnsi="Arial" w:cs="Arial"/>
          <w:sz w:val="24"/>
          <w:szCs w:val="24"/>
          <w:lang w:val="es-MX"/>
        </w:rPr>
        <w:t>10</w:t>
      </w:r>
      <w:r>
        <w:rPr>
          <w:rFonts w:ascii="Arial" w:hAnsi="Arial" w:cs="Arial"/>
          <w:sz w:val="24"/>
          <w:szCs w:val="24"/>
          <w:lang w:val="es-MX"/>
        </w:rPr>
        <w:t>/</w:t>
      </w:r>
      <w:r w:rsidR="000E003B">
        <w:rPr>
          <w:rFonts w:ascii="Arial" w:hAnsi="Arial" w:cs="Arial"/>
          <w:sz w:val="24"/>
          <w:szCs w:val="24"/>
          <w:lang w:val="es-MX"/>
        </w:rPr>
        <w:t>0</w:t>
      </w:r>
      <w:r w:rsidR="002A3628">
        <w:rPr>
          <w:rFonts w:ascii="Arial" w:hAnsi="Arial" w:cs="Arial"/>
          <w:sz w:val="24"/>
          <w:szCs w:val="24"/>
          <w:lang w:val="es-MX"/>
        </w:rPr>
        <w:t>2</w:t>
      </w:r>
      <w:r>
        <w:rPr>
          <w:rFonts w:ascii="Arial" w:hAnsi="Arial" w:cs="Arial"/>
          <w:sz w:val="24"/>
          <w:szCs w:val="24"/>
          <w:lang w:val="es-MX"/>
        </w:rPr>
        <w:t>/202</w:t>
      </w:r>
      <w:r w:rsidR="000E003B">
        <w:rPr>
          <w:rFonts w:ascii="Arial" w:hAnsi="Arial" w:cs="Arial"/>
          <w:sz w:val="24"/>
          <w:szCs w:val="24"/>
          <w:lang w:val="es-MX"/>
        </w:rPr>
        <w:t>6</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23FCED61"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0E003B">
        <w:rPr>
          <w:rFonts w:ascii="Arial" w:hAnsi="Arial" w:cs="Arial"/>
          <w:b/>
          <w:bCs/>
          <w:sz w:val="24"/>
          <w:szCs w:val="24"/>
          <w:lang w:val="es-MX"/>
        </w:rPr>
        <w:t>10</w:t>
      </w:r>
      <w:r w:rsidR="00476A8E" w:rsidRPr="00476A8E">
        <w:rPr>
          <w:rFonts w:ascii="Arial" w:hAnsi="Arial" w:cs="Arial"/>
          <w:b/>
          <w:bCs/>
          <w:sz w:val="24"/>
          <w:szCs w:val="24"/>
          <w:lang w:val="es-MX"/>
        </w:rPr>
        <w:t>/</w:t>
      </w:r>
      <w:r w:rsidR="000E003B">
        <w:rPr>
          <w:rFonts w:ascii="Arial" w:hAnsi="Arial" w:cs="Arial"/>
          <w:b/>
          <w:bCs/>
          <w:sz w:val="24"/>
          <w:szCs w:val="24"/>
          <w:lang w:val="es-MX"/>
        </w:rPr>
        <w:t>0</w:t>
      </w:r>
      <w:r w:rsidR="002A3628">
        <w:rPr>
          <w:rFonts w:ascii="Arial" w:hAnsi="Arial" w:cs="Arial"/>
          <w:b/>
          <w:bCs/>
          <w:sz w:val="24"/>
          <w:szCs w:val="24"/>
          <w:lang w:val="es-MX"/>
        </w:rPr>
        <w:t>2</w:t>
      </w:r>
      <w:r w:rsidR="00C81C00" w:rsidRPr="00476A8E">
        <w:rPr>
          <w:rFonts w:ascii="Arial" w:hAnsi="Arial" w:cs="Arial"/>
          <w:b/>
          <w:bCs/>
          <w:sz w:val="24"/>
          <w:szCs w:val="24"/>
          <w:lang w:val="es-MX"/>
        </w:rPr>
        <w:t>/2</w:t>
      </w:r>
      <w:r w:rsidR="000E003B">
        <w:rPr>
          <w:rFonts w:ascii="Arial" w:hAnsi="Arial" w:cs="Arial"/>
          <w:b/>
          <w:bCs/>
          <w:sz w:val="24"/>
          <w:szCs w:val="24"/>
          <w:lang w:val="es-MX"/>
        </w:rPr>
        <w:t>6</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BCDA" w14:textId="77777777" w:rsidR="00662758" w:rsidRDefault="00662758" w:rsidP="00D54B95">
      <w:pPr>
        <w:spacing w:after="0" w:line="240" w:lineRule="auto"/>
      </w:pPr>
      <w:r>
        <w:separator/>
      </w:r>
    </w:p>
  </w:endnote>
  <w:endnote w:type="continuationSeparator" w:id="0">
    <w:p w14:paraId="3B8DF70A" w14:textId="77777777" w:rsidR="00662758" w:rsidRDefault="00662758"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E191" w14:textId="77777777" w:rsidR="00662758" w:rsidRDefault="00662758" w:rsidP="00D54B95">
      <w:pPr>
        <w:spacing w:after="0" w:line="240" w:lineRule="auto"/>
      </w:pPr>
      <w:r>
        <w:separator/>
      </w:r>
    </w:p>
  </w:footnote>
  <w:footnote w:type="continuationSeparator" w:id="0">
    <w:p w14:paraId="4725BF11" w14:textId="77777777" w:rsidR="00662758" w:rsidRDefault="00662758"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61E4D"/>
    <w:rsid w:val="00064923"/>
    <w:rsid w:val="0007437B"/>
    <w:rsid w:val="00086640"/>
    <w:rsid w:val="00091B65"/>
    <w:rsid w:val="000B529F"/>
    <w:rsid w:val="000C2407"/>
    <w:rsid w:val="000C4935"/>
    <w:rsid w:val="000D7C7E"/>
    <w:rsid w:val="000E003B"/>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A362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62758"/>
    <w:rsid w:val="006E220B"/>
    <w:rsid w:val="0073378D"/>
    <w:rsid w:val="00736DFC"/>
    <w:rsid w:val="007B0C84"/>
    <w:rsid w:val="007E0EA2"/>
    <w:rsid w:val="007F211A"/>
    <w:rsid w:val="0081025C"/>
    <w:rsid w:val="00820D16"/>
    <w:rsid w:val="00836E43"/>
    <w:rsid w:val="00854ADC"/>
    <w:rsid w:val="008574DF"/>
    <w:rsid w:val="0089054A"/>
    <w:rsid w:val="008A358D"/>
    <w:rsid w:val="008C7193"/>
    <w:rsid w:val="008D719A"/>
    <w:rsid w:val="008E4049"/>
    <w:rsid w:val="00991259"/>
    <w:rsid w:val="009A05A4"/>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045A9"/>
    <w:rsid w:val="00E441CB"/>
    <w:rsid w:val="00E62347"/>
    <w:rsid w:val="00E66D5A"/>
    <w:rsid w:val="00EB00A0"/>
    <w:rsid w:val="00EB06B4"/>
    <w:rsid w:val="00EF74ED"/>
    <w:rsid w:val="00F00D7C"/>
    <w:rsid w:val="00F044F7"/>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38C38BF5-6D21-4BB6-82B3-54AC53B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2119</Words>
  <Characters>11655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2025-12-17T13:14:00Z</dcterms:created>
  <dcterms:modified xsi:type="dcterms:W3CDTF">2026-02-02T13:38:00Z</dcterms:modified>
</cp:coreProperties>
</file>