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568AF12C" w:rsidR="00FA3D52" w:rsidRPr="00970C2C" w:rsidRDefault="00FA3D52" w:rsidP="00FA3D52">
      <w:pPr>
        <w:spacing w:line="360" w:lineRule="auto"/>
        <w:jc w:val="center"/>
        <w:rPr>
          <w:rFonts w:ascii="Arial" w:hAnsi="Arial" w:cs="Arial"/>
          <w:b/>
          <w:bCs/>
          <w:sz w:val="36"/>
          <w:szCs w:val="36"/>
          <w:u w:val="single"/>
          <w:lang w:val="es-MX"/>
        </w:rPr>
      </w:pPr>
      <w:r w:rsidRPr="00970C2C">
        <w:rPr>
          <w:rFonts w:ascii="Arial" w:hAnsi="Arial" w:cs="Arial"/>
          <w:b/>
          <w:bCs/>
          <w:sz w:val="36"/>
          <w:szCs w:val="36"/>
          <w:u w:val="single"/>
          <w:lang w:val="es-MX"/>
        </w:rPr>
        <w:t>INVITACION A COTIZAR</w:t>
      </w:r>
    </w:p>
    <w:p w14:paraId="0B2362FE" w14:textId="7AC8F982" w:rsidR="00FA3D52" w:rsidRPr="00C81C00"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CB22C9">
        <w:rPr>
          <w:rFonts w:ascii="Arial" w:hAnsi="Arial" w:cs="Arial"/>
          <w:b/>
          <w:sz w:val="24"/>
          <w:szCs w:val="24"/>
          <w:lang w:val="es-MX"/>
        </w:rPr>
        <w:t>2025-18607/2025-18662</w:t>
      </w:r>
    </w:p>
    <w:p w14:paraId="6799562E" w14:textId="188E73A4" w:rsidR="00FA3D52" w:rsidRPr="00CA6C85"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C81C00" w:rsidRPr="00C81C00">
        <w:rPr>
          <w:rFonts w:ascii="Arial" w:hAnsi="Arial" w:cs="Arial"/>
          <w:sz w:val="24"/>
          <w:szCs w:val="24"/>
          <w:lang w:val="es-MX"/>
        </w:rPr>
        <w:t xml:space="preserve">Adquisición </w:t>
      </w:r>
      <w:r w:rsidR="00C617C4">
        <w:rPr>
          <w:rFonts w:ascii="Arial" w:hAnsi="Arial" w:cs="Arial"/>
          <w:sz w:val="24"/>
          <w:szCs w:val="24"/>
          <w:lang w:val="es-MX"/>
        </w:rPr>
        <w:t xml:space="preserve">de </w:t>
      </w:r>
      <w:r w:rsidR="00CB22C9">
        <w:rPr>
          <w:rFonts w:ascii="Arial" w:hAnsi="Arial" w:cs="Arial"/>
          <w:sz w:val="24"/>
          <w:szCs w:val="24"/>
          <w:lang w:val="es-MX"/>
        </w:rPr>
        <w:t>Elementos para archivo</w:t>
      </w:r>
      <w:r w:rsidR="00016494">
        <w:rPr>
          <w:rFonts w:ascii="Arial" w:hAnsi="Arial" w:cs="Arial"/>
          <w:sz w:val="24"/>
          <w:szCs w:val="24"/>
          <w:lang w:val="es-MX"/>
        </w:rPr>
        <w:t xml:space="preserve"> según detalle</w:t>
      </w:r>
      <w:r w:rsidR="005E6832">
        <w:rPr>
          <w:rFonts w:ascii="Arial" w:hAnsi="Arial" w:cs="Arial"/>
          <w:sz w:val="24"/>
          <w:szCs w:val="24"/>
          <w:lang w:val="es-MX"/>
        </w:rPr>
        <w:t>.</w:t>
      </w:r>
    </w:p>
    <w:p w14:paraId="17EE21AB" w14:textId="3F79E55D" w:rsidR="00FA3D52" w:rsidRPr="00C81C00" w:rsidRDefault="00CA6C85"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FECHA DE APERTURA/</w:t>
      </w:r>
      <w:r w:rsidR="00970C2C">
        <w:rPr>
          <w:rFonts w:ascii="Arial" w:hAnsi="Arial" w:cs="Arial"/>
          <w:b/>
          <w:sz w:val="24"/>
          <w:szCs w:val="24"/>
          <w:u w:val="single"/>
          <w:lang w:val="es-MX"/>
        </w:rPr>
        <w:t xml:space="preserve"> </w:t>
      </w:r>
      <w:r w:rsidRPr="00C444AF">
        <w:rPr>
          <w:rFonts w:ascii="Arial" w:hAnsi="Arial" w:cs="Arial"/>
          <w:b/>
          <w:sz w:val="24"/>
          <w:szCs w:val="24"/>
          <w:u w:val="single"/>
          <w:lang w:val="es-MX"/>
        </w:rPr>
        <w:t xml:space="preserve">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r w:rsidR="006546EF">
        <w:rPr>
          <w:rFonts w:ascii="Arial" w:hAnsi="Arial" w:cs="Arial"/>
          <w:sz w:val="24"/>
          <w:szCs w:val="24"/>
          <w:lang w:val="es-MX"/>
        </w:rPr>
        <w:t>lunes</w:t>
      </w:r>
      <w:bookmarkStart w:id="0" w:name="_GoBack"/>
      <w:bookmarkEnd w:id="0"/>
      <w:r w:rsidR="00C81C00" w:rsidRPr="00C81C00">
        <w:rPr>
          <w:rFonts w:ascii="Arial" w:hAnsi="Arial" w:cs="Arial"/>
          <w:sz w:val="24"/>
          <w:szCs w:val="24"/>
          <w:lang w:val="es-MX"/>
        </w:rPr>
        <w:t xml:space="preserve"> </w:t>
      </w:r>
      <w:r w:rsidR="00CB22C9">
        <w:rPr>
          <w:rFonts w:ascii="Arial" w:hAnsi="Arial" w:cs="Arial"/>
          <w:sz w:val="24"/>
          <w:szCs w:val="24"/>
          <w:lang w:val="es-MX"/>
        </w:rPr>
        <w:t>2</w:t>
      </w:r>
      <w:r w:rsidR="00016494">
        <w:rPr>
          <w:rFonts w:ascii="Arial" w:hAnsi="Arial" w:cs="Arial"/>
          <w:sz w:val="24"/>
          <w:szCs w:val="24"/>
          <w:lang w:val="es-MX"/>
        </w:rPr>
        <w:t>7</w:t>
      </w:r>
      <w:r w:rsidR="00515522" w:rsidRPr="00C81C00">
        <w:rPr>
          <w:rFonts w:ascii="Arial" w:hAnsi="Arial" w:cs="Arial"/>
          <w:sz w:val="24"/>
          <w:szCs w:val="24"/>
          <w:lang w:val="es-MX"/>
        </w:rPr>
        <w:t>/</w:t>
      </w:r>
      <w:r w:rsidR="00016494">
        <w:rPr>
          <w:rFonts w:ascii="Arial" w:hAnsi="Arial" w:cs="Arial"/>
          <w:sz w:val="24"/>
          <w:szCs w:val="24"/>
          <w:lang w:val="es-MX"/>
        </w:rPr>
        <w:t>1</w:t>
      </w:r>
      <w:r w:rsidR="000C2407">
        <w:rPr>
          <w:rFonts w:ascii="Arial" w:hAnsi="Arial" w:cs="Arial"/>
          <w:sz w:val="24"/>
          <w:szCs w:val="24"/>
          <w:lang w:val="es-MX"/>
        </w:rPr>
        <w:t>0</w:t>
      </w:r>
      <w:r w:rsidR="00515522" w:rsidRPr="00C81C00">
        <w:rPr>
          <w:rFonts w:ascii="Arial" w:hAnsi="Arial" w:cs="Arial"/>
          <w:sz w:val="24"/>
          <w:szCs w:val="24"/>
          <w:lang w:val="es-MX"/>
        </w:rPr>
        <w:t>/2</w:t>
      </w:r>
      <w:r w:rsidR="000C2407">
        <w:rPr>
          <w:rFonts w:ascii="Arial" w:hAnsi="Arial" w:cs="Arial"/>
          <w:sz w:val="24"/>
          <w:szCs w:val="24"/>
          <w:lang w:val="es-MX"/>
        </w:rPr>
        <w:t>025</w:t>
      </w:r>
    </w:p>
    <w:p w14:paraId="63CD2BAE" w14:textId="346A737D"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0</w:t>
      </w:r>
      <w:r w:rsidR="00016494">
        <w:rPr>
          <w:rFonts w:ascii="Arial" w:hAnsi="Arial" w:cs="Arial"/>
          <w:sz w:val="24"/>
          <w:szCs w:val="24"/>
          <w:lang w:val="es-MX"/>
        </w:rPr>
        <w:t>8</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0A10A28B"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CB22C9">
        <w:rPr>
          <w:rFonts w:ascii="Arial" w:hAnsi="Arial" w:cs="Arial"/>
          <w:sz w:val="24"/>
          <w:szCs w:val="24"/>
          <w:lang w:val="es-MX"/>
        </w:rPr>
        <w:t>2</w:t>
      </w:r>
      <w:r w:rsidR="00016494">
        <w:rPr>
          <w:rFonts w:ascii="Arial" w:hAnsi="Arial" w:cs="Arial"/>
          <w:sz w:val="24"/>
          <w:szCs w:val="24"/>
          <w:lang w:val="es-MX"/>
        </w:rPr>
        <w:t>7</w:t>
      </w:r>
      <w:r w:rsidR="00C81C00" w:rsidRPr="00C81C00">
        <w:rPr>
          <w:rFonts w:ascii="Arial" w:hAnsi="Arial" w:cs="Arial"/>
          <w:sz w:val="24"/>
          <w:szCs w:val="24"/>
          <w:lang w:val="es-MX"/>
        </w:rPr>
        <w:t>/</w:t>
      </w:r>
      <w:r w:rsidR="00016494">
        <w:rPr>
          <w:rFonts w:ascii="Arial" w:hAnsi="Arial" w:cs="Arial"/>
          <w:sz w:val="24"/>
          <w:szCs w:val="24"/>
          <w:lang w:val="es-MX"/>
        </w:rPr>
        <w:t>1</w:t>
      </w:r>
      <w:r w:rsidR="001976B5">
        <w:rPr>
          <w:rFonts w:ascii="Arial" w:hAnsi="Arial" w:cs="Arial"/>
          <w:sz w:val="24"/>
          <w:szCs w:val="24"/>
          <w:lang w:val="es-MX"/>
        </w:rPr>
        <w:t>0</w:t>
      </w:r>
      <w:r w:rsidR="00C81C00" w:rsidRPr="00C81C00">
        <w:rPr>
          <w:rFonts w:ascii="Arial" w:hAnsi="Arial" w:cs="Arial"/>
          <w:sz w:val="24"/>
          <w:szCs w:val="24"/>
          <w:lang w:val="es-MX"/>
        </w:rPr>
        <w:t>/2</w:t>
      </w:r>
      <w:r w:rsidR="001976B5">
        <w:rPr>
          <w:rFonts w:ascii="Arial" w:hAnsi="Arial" w:cs="Arial"/>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a horas 0</w:t>
      </w:r>
      <w:r w:rsidR="00016494">
        <w:rPr>
          <w:rFonts w:ascii="Arial" w:hAnsi="Arial" w:cs="Arial"/>
          <w:sz w:val="24"/>
          <w:szCs w:val="24"/>
          <w:lang w:val="es-MX"/>
        </w:rPr>
        <w:t>8</w:t>
      </w:r>
      <w:r w:rsidRPr="00C81C00">
        <w:rPr>
          <w:rFonts w:ascii="Arial" w:hAnsi="Arial" w:cs="Arial"/>
          <w:sz w:val="24"/>
          <w:szCs w:val="24"/>
          <w:lang w:val="es-MX"/>
        </w:rPr>
        <w:t>:00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576593C8" w14:textId="08E3D97C" w:rsidR="003B2EF6" w:rsidRPr="00FA3D52" w:rsidRDefault="003B2EF6"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3B2EF6">
        <w:rPr>
          <w:rFonts w:ascii="Arial" w:hAnsi="Arial" w:cs="Arial"/>
          <w:b/>
          <w:sz w:val="24"/>
          <w:szCs w:val="24"/>
          <w:lang w:val="es-MX"/>
        </w:rPr>
        <w:t>Certificación de “Libre Deuda” de tributos municipales actualizado</w:t>
      </w:r>
      <w:r>
        <w:rPr>
          <w:rFonts w:ascii="Arial" w:hAnsi="Arial" w:cs="Arial"/>
          <w:sz w:val="24"/>
          <w:szCs w:val="24"/>
          <w:lang w:val="es-MX"/>
        </w:rPr>
        <w:t xml:space="preserve"> (hasta 30 días corridos anteriores a la presentación) </w:t>
      </w:r>
      <w:r w:rsidR="0025345B">
        <w:rPr>
          <w:rFonts w:ascii="Arial" w:hAnsi="Arial" w:cs="Arial"/>
          <w:sz w:val="24"/>
          <w:szCs w:val="24"/>
          <w:lang w:val="es-MX"/>
        </w:rPr>
        <w:t>(Solo para proveedores Locales)</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9F5F69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 Se aceptará la posibilidad de entregas parciales</w:t>
      </w:r>
      <w:r w:rsidRPr="00FA3D52">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46B84" w14:textId="77777777" w:rsidR="001043AB" w:rsidRDefault="001043AB" w:rsidP="00D54B95">
      <w:pPr>
        <w:spacing w:after="0" w:line="240" w:lineRule="auto"/>
      </w:pPr>
      <w:r>
        <w:separator/>
      </w:r>
    </w:p>
  </w:endnote>
  <w:endnote w:type="continuationSeparator" w:id="0">
    <w:p w14:paraId="5E9495E0" w14:textId="77777777" w:rsidR="001043AB" w:rsidRDefault="001043A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E960" w14:textId="77777777" w:rsidR="001043AB" w:rsidRDefault="001043AB" w:rsidP="00D54B95">
      <w:pPr>
        <w:spacing w:after="0" w:line="240" w:lineRule="auto"/>
      </w:pPr>
      <w:r>
        <w:separator/>
      </w:r>
    </w:p>
  </w:footnote>
  <w:footnote w:type="continuationSeparator" w:id="0">
    <w:p w14:paraId="0BB01A32" w14:textId="77777777" w:rsidR="001043AB" w:rsidRDefault="001043AB"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16494"/>
    <w:rsid w:val="000506E3"/>
    <w:rsid w:val="0005537C"/>
    <w:rsid w:val="00061E4D"/>
    <w:rsid w:val="00064923"/>
    <w:rsid w:val="0007437B"/>
    <w:rsid w:val="00086640"/>
    <w:rsid w:val="000B529F"/>
    <w:rsid w:val="000C2407"/>
    <w:rsid w:val="000C4935"/>
    <w:rsid w:val="000D7C7E"/>
    <w:rsid w:val="000E6535"/>
    <w:rsid w:val="000F2F71"/>
    <w:rsid w:val="001020A6"/>
    <w:rsid w:val="001043AB"/>
    <w:rsid w:val="00104FB9"/>
    <w:rsid w:val="00146332"/>
    <w:rsid w:val="00146AE6"/>
    <w:rsid w:val="00165AFC"/>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77E2"/>
    <w:rsid w:val="00471877"/>
    <w:rsid w:val="00476CB2"/>
    <w:rsid w:val="00477D0E"/>
    <w:rsid w:val="004C5529"/>
    <w:rsid w:val="00511018"/>
    <w:rsid w:val="00515522"/>
    <w:rsid w:val="00552B39"/>
    <w:rsid w:val="005531BC"/>
    <w:rsid w:val="00561020"/>
    <w:rsid w:val="00565AD0"/>
    <w:rsid w:val="005B4656"/>
    <w:rsid w:val="005D2024"/>
    <w:rsid w:val="005D4430"/>
    <w:rsid w:val="005E53E5"/>
    <w:rsid w:val="005E6832"/>
    <w:rsid w:val="00606F60"/>
    <w:rsid w:val="006113B8"/>
    <w:rsid w:val="00613795"/>
    <w:rsid w:val="00634171"/>
    <w:rsid w:val="00652E8C"/>
    <w:rsid w:val="006546EF"/>
    <w:rsid w:val="006E220B"/>
    <w:rsid w:val="00720FB8"/>
    <w:rsid w:val="0073378D"/>
    <w:rsid w:val="00736DFC"/>
    <w:rsid w:val="007B0C84"/>
    <w:rsid w:val="007F211A"/>
    <w:rsid w:val="0081025C"/>
    <w:rsid w:val="00820D16"/>
    <w:rsid w:val="00854ADC"/>
    <w:rsid w:val="008574DF"/>
    <w:rsid w:val="0089054A"/>
    <w:rsid w:val="008C31B7"/>
    <w:rsid w:val="008D719A"/>
    <w:rsid w:val="008E4049"/>
    <w:rsid w:val="00970C2C"/>
    <w:rsid w:val="00991259"/>
    <w:rsid w:val="009A05A4"/>
    <w:rsid w:val="00A26060"/>
    <w:rsid w:val="00A4512C"/>
    <w:rsid w:val="00AD2DCB"/>
    <w:rsid w:val="00AE55E2"/>
    <w:rsid w:val="00B05A61"/>
    <w:rsid w:val="00B545E5"/>
    <w:rsid w:val="00B63469"/>
    <w:rsid w:val="00B8540B"/>
    <w:rsid w:val="00B90396"/>
    <w:rsid w:val="00BA4065"/>
    <w:rsid w:val="00BE59E4"/>
    <w:rsid w:val="00BF6E41"/>
    <w:rsid w:val="00C44136"/>
    <w:rsid w:val="00C444AF"/>
    <w:rsid w:val="00C617C4"/>
    <w:rsid w:val="00C817AA"/>
    <w:rsid w:val="00C81C00"/>
    <w:rsid w:val="00C8325A"/>
    <w:rsid w:val="00CA6C85"/>
    <w:rsid w:val="00CB04D1"/>
    <w:rsid w:val="00CB22C9"/>
    <w:rsid w:val="00CF12BC"/>
    <w:rsid w:val="00D130F5"/>
    <w:rsid w:val="00D302B6"/>
    <w:rsid w:val="00D54B95"/>
    <w:rsid w:val="00D7727E"/>
    <w:rsid w:val="00D90105"/>
    <w:rsid w:val="00D90BC5"/>
    <w:rsid w:val="00DA0186"/>
    <w:rsid w:val="00DA5B12"/>
    <w:rsid w:val="00DB2703"/>
    <w:rsid w:val="00DB35C8"/>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9DDA-7AB6-4B3E-8ABF-5C26B18D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2125</Words>
  <Characters>11691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14</cp:revision>
  <cp:lastPrinted>2024-02-23T11:36:00Z</cp:lastPrinted>
  <dcterms:created xsi:type="dcterms:W3CDTF">2025-03-21T16:52:00Z</dcterms:created>
  <dcterms:modified xsi:type="dcterms:W3CDTF">2025-10-17T14:46:00Z</dcterms:modified>
</cp:coreProperties>
</file>